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9B2E56">
      <w:pPr>
        <w:spacing w:line="360" w:lineRule="auto"/>
        <w:rPr>
          <w:rFonts w:ascii="微软雅黑" w:hAnsi="微软雅黑" w:eastAsia="微软雅黑" w:cs="Tahoma"/>
          <w:b/>
          <w:sz w:val="24"/>
        </w:rPr>
      </w:pPr>
      <w:bookmarkStart w:id="6" w:name="_GoBack"/>
      <w:bookmarkEnd w:id="6"/>
    </w:p>
    <w:p w14:paraId="0EEB9717">
      <w:pPr>
        <w:spacing w:line="360" w:lineRule="auto"/>
        <w:jc w:val="center"/>
        <w:rPr>
          <w:rFonts w:ascii="微软雅黑" w:hAnsi="微软雅黑" w:eastAsia="微软雅黑" w:cs="Tahoma"/>
          <w:b/>
          <w:sz w:val="24"/>
        </w:rPr>
      </w:pPr>
    </w:p>
    <w:p w14:paraId="795388AB">
      <w:pPr>
        <w:spacing w:line="360" w:lineRule="auto"/>
        <w:jc w:val="center"/>
        <w:rPr>
          <w:rFonts w:ascii="微软雅黑" w:hAnsi="微软雅黑" w:eastAsia="微软雅黑" w:cs="Tahoma"/>
          <w:b/>
          <w:sz w:val="36"/>
          <w:szCs w:val="36"/>
        </w:rPr>
      </w:pPr>
      <w:r>
        <w:rPr>
          <w:rFonts w:hint="eastAsia" w:ascii="微软雅黑" w:hAnsi="微软雅黑" w:eastAsia="微软雅黑" w:cs="Tahoma"/>
          <w:b/>
          <w:sz w:val="36"/>
          <w:szCs w:val="36"/>
        </w:rPr>
        <w:t>第</w:t>
      </w:r>
      <w:r>
        <w:rPr>
          <w:rFonts w:hint="eastAsia" w:ascii="微软雅黑" w:hAnsi="微软雅黑" w:eastAsia="微软雅黑" w:cs="Tahoma"/>
          <w:b/>
          <w:sz w:val="36"/>
          <w:szCs w:val="36"/>
          <w:lang w:eastAsia="zh-CN"/>
        </w:rPr>
        <w:t>二十三</w:t>
      </w:r>
      <w:r>
        <w:rPr>
          <w:rFonts w:hint="eastAsia" w:ascii="微软雅黑" w:hAnsi="微软雅黑" w:eastAsia="微软雅黑" w:cs="Tahoma"/>
          <w:b/>
          <w:sz w:val="36"/>
          <w:szCs w:val="36"/>
        </w:rPr>
        <w:t>届中国国际数码互动娱乐展览会</w:t>
      </w:r>
    </w:p>
    <w:p w14:paraId="7104DF69">
      <w:pPr>
        <w:spacing w:line="360" w:lineRule="auto"/>
        <w:jc w:val="center"/>
        <w:rPr>
          <w:rFonts w:hint="eastAsia" w:ascii="微软雅黑" w:hAnsi="微软雅黑" w:eastAsia="微软雅黑" w:cs="Tahoma"/>
          <w:b/>
          <w:sz w:val="36"/>
          <w:szCs w:val="36"/>
        </w:rPr>
      </w:pPr>
      <w:r>
        <w:rPr>
          <w:rFonts w:hint="eastAsia" w:ascii="微软雅黑" w:hAnsi="微软雅黑" w:eastAsia="微软雅黑" w:cs="Tahoma"/>
          <w:b/>
          <w:sz w:val="36"/>
          <w:szCs w:val="36"/>
        </w:rPr>
        <w:t>指定特装搭建商招标书</w:t>
      </w:r>
    </w:p>
    <w:p w14:paraId="58D622D3">
      <w:pPr>
        <w:spacing w:line="360" w:lineRule="auto"/>
        <w:jc w:val="center"/>
        <w:rPr>
          <w:rFonts w:hint="eastAsia" w:ascii="微软雅黑" w:hAnsi="微软雅黑" w:eastAsia="微软雅黑" w:cs="Tahoma"/>
          <w:b/>
          <w:sz w:val="36"/>
          <w:szCs w:val="36"/>
        </w:rPr>
      </w:pPr>
      <w:r>
        <w:rPr>
          <w:rStyle w:val="15"/>
          <w:rFonts w:ascii="微软雅黑" w:hAnsi="微软雅黑" w:eastAsia="微软雅黑" w:cs="Tahoma"/>
          <w:sz w:val="24"/>
          <w:szCs w:val="24"/>
        </w:rPr>
        <w:drawing>
          <wp:anchor distT="0" distB="0" distL="114300" distR="114300" simplePos="0" relativeHeight="251659264" behindDoc="0" locked="0" layoutInCell="1" allowOverlap="1">
            <wp:simplePos x="0" y="0"/>
            <wp:positionH relativeFrom="column">
              <wp:posOffset>-434340</wp:posOffset>
            </wp:positionH>
            <wp:positionV relativeFrom="paragraph">
              <wp:posOffset>894715</wp:posOffset>
            </wp:positionV>
            <wp:extent cx="6231255" cy="4043045"/>
            <wp:effectExtent l="0" t="0" r="0" b="0"/>
            <wp:wrapTopAndBottom/>
            <wp:docPr id="1" name="图片 1" descr="2026年CJ logo-集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6年CJ logo-集合-02"/>
                    <pic:cNvPicPr>
                      <a:picLocks noChangeAspect="1"/>
                    </pic:cNvPicPr>
                  </pic:nvPicPr>
                  <pic:blipFill>
                    <a:blip r:embed="rId7"/>
                    <a:stretch>
                      <a:fillRect/>
                    </a:stretch>
                  </pic:blipFill>
                  <pic:spPr>
                    <a:xfrm>
                      <a:off x="0" y="0"/>
                      <a:ext cx="6231255" cy="4043045"/>
                    </a:xfrm>
                    <a:prstGeom prst="rect">
                      <a:avLst/>
                    </a:prstGeom>
                  </pic:spPr>
                </pic:pic>
              </a:graphicData>
            </a:graphic>
          </wp:anchor>
        </w:drawing>
      </w:r>
    </w:p>
    <w:p w14:paraId="048613BE">
      <w:pPr>
        <w:tabs>
          <w:tab w:val="left" w:pos="630"/>
        </w:tabs>
        <w:spacing w:line="360" w:lineRule="auto"/>
        <w:jc w:val="center"/>
        <w:rPr>
          <w:rStyle w:val="15"/>
          <w:rFonts w:ascii="微软雅黑" w:hAnsi="微软雅黑" w:eastAsia="微软雅黑" w:cs="Tahoma"/>
          <w:sz w:val="24"/>
          <w:szCs w:val="24"/>
        </w:rPr>
      </w:pPr>
      <w:bookmarkStart w:id="0" w:name="_Toc119400770"/>
      <w:bookmarkStart w:id="1" w:name="_Toc119401460"/>
      <w:bookmarkStart w:id="2" w:name="_Toc119738204"/>
    </w:p>
    <w:p w14:paraId="2ACA3FDE">
      <w:pPr>
        <w:spacing w:line="360" w:lineRule="auto"/>
        <w:ind w:firstLine="5283" w:firstLineChars="2200"/>
        <w:rPr>
          <w:rStyle w:val="15"/>
          <w:rFonts w:ascii="微软雅黑" w:hAnsi="微软雅黑" w:eastAsia="微软雅黑" w:cs="Tahoma"/>
          <w:sz w:val="24"/>
          <w:szCs w:val="24"/>
        </w:rPr>
      </w:pPr>
    </w:p>
    <w:p w14:paraId="4F6FF361">
      <w:pPr>
        <w:spacing w:line="360" w:lineRule="auto"/>
        <w:rPr>
          <w:rStyle w:val="15"/>
          <w:rFonts w:ascii="微软雅黑" w:hAnsi="微软雅黑" w:eastAsia="微软雅黑" w:cs="Tahoma"/>
          <w:sz w:val="24"/>
          <w:szCs w:val="24"/>
        </w:rPr>
      </w:pPr>
    </w:p>
    <w:p w14:paraId="56255C69">
      <w:pPr>
        <w:spacing w:line="360" w:lineRule="auto"/>
        <w:rPr>
          <w:rStyle w:val="15"/>
          <w:rFonts w:ascii="微软雅黑" w:hAnsi="微软雅黑" w:eastAsia="微软雅黑" w:cs="Tahoma"/>
          <w:sz w:val="24"/>
          <w:szCs w:val="24"/>
        </w:rPr>
      </w:pPr>
    </w:p>
    <w:p w14:paraId="16D175AF">
      <w:pPr>
        <w:spacing w:line="360" w:lineRule="auto"/>
        <w:rPr>
          <w:rStyle w:val="15"/>
          <w:rFonts w:ascii="微软雅黑" w:hAnsi="微软雅黑" w:eastAsia="微软雅黑" w:cs="Tahoma"/>
          <w:sz w:val="24"/>
          <w:szCs w:val="24"/>
        </w:rPr>
      </w:pPr>
    </w:p>
    <w:p w14:paraId="5057142E">
      <w:pPr>
        <w:spacing w:line="360" w:lineRule="auto"/>
        <w:rPr>
          <w:rStyle w:val="15"/>
          <w:rFonts w:ascii="微软雅黑" w:hAnsi="微软雅黑" w:eastAsia="微软雅黑" w:cs="Tahoma"/>
          <w:sz w:val="24"/>
          <w:szCs w:val="24"/>
        </w:rPr>
      </w:pPr>
    </w:p>
    <w:p w14:paraId="639A56B0">
      <w:pPr>
        <w:spacing w:line="360" w:lineRule="auto"/>
        <w:rPr>
          <w:rStyle w:val="15"/>
          <w:rFonts w:ascii="微软雅黑" w:hAnsi="微软雅黑" w:eastAsia="微软雅黑" w:cs="Tahoma"/>
          <w:sz w:val="24"/>
          <w:szCs w:val="24"/>
        </w:rPr>
      </w:pPr>
    </w:p>
    <w:p w14:paraId="4444CE47">
      <w:pPr>
        <w:spacing w:line="360" w:lineRule="auto"/>
        <w:rPr>
          <w:rFonts w:ascii="微软雅黑" w:hAnsi="微软雅黑" w:eastAsia="微软雅黑" w:cs="Tahoma"/>
          <w:sz w:val="24"/>
        </w:rPr>
      </w:pPr>
      <w:r>
        <w:rPr>
          <w:rStyle w:val="15"/>
          <w:rFonts w:hint="eastAsia" w:ascii="微软雅黑" w:hAnsi="微软雅黑" w:eastAsia="微软雅黑" w:cs="Tahoma"/>
          <w:sz w:val="24"/>
          <w:szCs w:val="24"/>
        </w:rPr>
        <w:t>一、展览会名称</w:t>
      </w:r>
      <w:bookmarkEnd w:id="0"/>
      <w:bookmarkEnd w:id="1"/>
      <w:bookmarkEnd w:id="2"/>
      <w:r>
        <w:rPr>
          <w:rFonts w:hint="eastAsia" w:ascii="微软雅黑" w:hAnsi="微软雅黑" w:eastAsia="微软雅黑" w:cs="Tahoma"/>
          <w:sz w:val="24"/>
        </w:rPr>
        <w:t>：</w:t>
      </w:r>
    </w:p>
    <w:p w14:paraId="2F559748">
      <w:pPr>
        <w:spacing w:line="360" w:lineRule="auto"/>
        <w:ind w:firstLine="840" w:firstLineChars="350"/>
        <w:rPr>
          <w:rFonts w:hint="eastAsia" w:ascii="微软雅黑" w:hAnsi="微软雅黑" w:eastAsia="微软雅黑" w:cs="Tahoma"/>
          <w:color w:val="000000"/>
          <w:sz w:val="24"/>
        </w:rPr>
      </w:pPr>
      <w:r>
        <w:rPr>
          <w:rFonts w:hint="eastAsia" w:ascii="微软雅黑" w:hAnsi="微软雅黑" w:eastAsia="微软雅黑" w:cs="Tahoma"/>
          <w:color w:val="000000"/>
          <w:sz w:val="24"/>
        </w:rPr>
        <w:t>第</w:t>
      </w:r>
      <w:r>
        <w:rPr>
          <w:rFonts w:hint="eastAsia" w:ascii="微软雅黑" w:hAnsi="微软雅黑" w:eastAsia="微软雅黑" w:cs="Tahoma"/>
          <w:color w:val="000000"/>
          <w:sz w:val="24"/>
          <w:lang w:eastAsia="zh-CN"/>
        </w:rPr>
        <w:t>二十三</w:t>
      </w:r>
      <w:r>
        <w:rPr>
          <w:rFonts w:hint="eastAsia" w:ascii="微软雅黑" w:hAnsi="微软雅黑" w:eastAsia="微软雅黑" w:cs="Tahoma"/>
          <w:color w:val="000000"/>
          <w:sz w:val="24"/>
        </w:rPr>
        <w:t>届中国国际数码互动娱乐展览会</w:t>
      </w:r>
    </w:p>
    <w:p w14:paraId="62BB2528">
      <w:pPr>
        <w:spacing w:line="360" w:lineRule="auto"/>
        <w:ind w:firstLine="840" w:firstLineChars="350"/>
        <w:rPr>
          <w:rFonts w:hint="eastAsia" w:ascii="微软雅黑" w:hAnsi="微软雅黑" w:eastAsia="微软雅黑" w:cs="Tahoma"/>
          <w:color w:val="000000"/>
          <w:sz w:val="24"/>
        </w:rPr>
      </w:pPr>
    </w:p>
    <w:p w14:paraId="256BCAF8">
      <w:pPr>
        <w:spacing w:line="360" w:lineRule="auto"/>
        <w:rPr>
          <w:rFonts w:ascii="微软雅黑" w:hAnsi="微软雅黑" w:eastAsia="微软雅黑" w:cs="Tahoma"/>
          <w:b/>
          <w:sz w:val="24"/>
        </w:rPr>
      </w:pPr>
      <w:r>
        <w:rPr>
          <w:rFonts w:hint="eastAsia" w:ascii="微软雅黑" w:hAnsi="微软雅黑" w:eastAsia="微软雅黑" w:cs="Tahoma"/>
          <w:b/>
          <w:sz w:val="24"/>
        </w:rPr>
        <w:t>二、展览会简介：</w:t>
      </w:r>
    </w:p>
    <w:p w14:paraId="3A88C512">
      <w:pPr>
        <w:spacing w:line="360" w:lineRule="auto"/>
        <w:ind w:firstLine="840" w:firstLineChars="350"/>
        <w:rPr>
          <w:rFonts w:ascii="微软雅黑" w:hAnsi="微软雅黑" w:eastAsia="微软雅黑"/>
          <w:sz w:val="24"/>
        </w:rPr>
      </w:pPr>
      <w:r>
        <w:rPr>
          <w:rFonts w:ascii="微软雅黑" w:hAnsi="微软雅黑" w:eastAsia="微软雅黑"/>
          <w:sz w:val="24"/>
        </w:rPr>
        <w:t>中国国际数码互动娱乐展览会（ChinaJoy）</w:t>
      </w:r>
      <w:r>
        <w:rPr>
          <w:rFonts w:hint="eastAsia" w:ascii="微软雅黑" w:hAnsi="微软雅黑" w:eastAsia="微软雅黑"/>
          <w:sz w:val="24"/>
        </w:rPr>
        <w:t>是当今全球数字娱乐领域最具知名度与影响力的年度盛会之一。每一届ChinaJoy都成为我国及全球数字娱乐产业发展风向标，备受全球业界人士和广大玩家们的广泛关注与喜爱。</w:t>
      </w:r>
    </w:p>
    <w:p w14:paraId="7FD32A57">
      <w:pPr>
        <w:spacing w:line="360" w:lineRule="auto"/>
        <w:ind w:firstLine="840" w:firstLineChars="350"/>
        <w:rPr>
          <w:rFonts w:ascii="微软雅黑" w:hAnsi="微软雅黑" w:eastAsia="微软雅黑"/>
          <w:sz w:val="24"/>
        </w:rPr>
      </w:pPr>
    </w:p>
    <w:p w14:paraId="1169BA82">
      <w:pPr>
        <w:spacing w:line="360" w:lineRule="auto"/>
        <w:ind w:firstLine="840" w:firstLineChars="350"/>
        <w:rPr>
          <w:rFonts w:ascii="微软雅黑" w:hAnsi="微软雅黑" w:eastAsia="微软雅黑"/>
          <w:sz w:val="24"/>
        </w:rPr>
      </w:pPr>
      <w:r>
        <w:rPr>
          <w:rFonts w:hint="eastAsia" w:ascii="微软雅黑" w:hAnsi="微软雅黑" w:eastAsia="微软雅黑"/>
          <w:sz w:val="24"/>
          <w:lang w:val="en-US" w:eastAsia="zh-CN"/>
        </w:rPr>
        <w:t>7</w:t>
      </w:r>
      <w:r>
        <w:rPr>
          <w:rFonts w:hint="eastAsia" w:ascii="微软雅黑" w:hAnsi="微软雅黑" w:eastAsia="微软雅黑"/>
          <w:sz w:val="24"/>
        </w:rPr>
        <w:t>月</w:t>
      </w:r>
      <w:r>
        <w:rPr>
          <w:rFonts w:hint="eastAsia" w:ascii="微软雅黑" w:hAnsi="微软雅黑" w:eastAsia="微软雅黑"/>
          <w:sz w:val="24"/>
          <w:lang w:val="en-US" w:eastAsia="zh-CN"/>
        </w:rPr>
        <w:t>31</w:t>
      </w:r>
      <w:r>
        <w:rPr>
          <w:rFonts w:hint="eastAsia" w:ascii="微软雅黑" w:hAnsi="微软雅黑" w:eastAsia="微软雅黑"/>
          <w:sz w:val="24"/>
        </w:rPr>
        <w:t>日至</w:t>
      </w:r>
      <w:r>
        <w:rPr>
          <w:rFonts w:hint="eastAsia" w:ascii="微软雅黑" w:hAnsi="微软雅黑" w:eastAsia="微软雅黑"/>
          <w:sz w:val="24"/>
          <w:lang w:val="en-US" w:eastAsia="zh-CN"/>
        </w:rPr>
        <w:t>8</w:t>
      </w:r>
      <w:r>
        <w:rPr>
          <w:rFonts w:hint="eastAsia" w:ascii="微软雅黑" w:hAnsi="微软雅黑" w:eastAsia="微软雅黑"/>
          <w:sz w:val="24"/>
        </w:rPr>
        <w:t>月</w:t>
      </w:r>
      <w:r>
        <w:rPr>
          <w:rFonts w:hint="eastAsia" w:ascii="微软雅黑" w:hAnsi="微软雅黑" w:eastAsia="微软雅黑"/>
          <w:sz w:val="24"/>
          <w:lang w:val="en-US" w:eastAsia="zh-CN"/>
        </w:rPr>
        <w:t>3</w:t>
      </w:r>
      <w:r>
        <w:rPr>
          <w:rFonts w:hint="eastAsia" w:ascii="微软雅黑" w:hAnsi="微软雅黑" w:eastAsia="微软雅黑"/>
          <w:sz w:val="24"/>
        </w:rPr>
        <w:t>日，</w:t>
      </w:r>
      <w:r>
        <w:rPr>
          <w:rFonts w:hint="eastAsia" w:ascii="微软雅黑" w:hAnsi="微软雅黑" w:eastAsia="微软雅黑"/>
          <w:sz w:val="24"/>
          <w:lang w:eastAsia="zh-CN"/>
        </w:rPr>
        <w:t>2026</w:t>
      </w:r>
      <w:r>
        <w:rPr>
          <w:rFonts w:hint="eastAsia" w:ascii="微软雅黑" w:hAnsi="微软雅黑" w:eastAsia="微软雅黑"/>
          <w:sz w:val="24"/>
        </w:rPr>
        <w:t>年第</w:t>
      </w:r>
      <w:r>
        <w:rPr>
          <w:rFonts w:hint="eastAsia" w:ascii="微软雅黑" w:hAnsi="微软雅黑" w:eastAsia="微软雅黑"/>
          <w:sz w:val="24"/>
          <w:lang w:eastAsia="zh-CN"/>
        </w:rPr>
        <w:t>二十三</w:t>
      </w:r>
      <w:r>
        <w:rPr>
          <w:rFonts w:hint="eastAsia" w:ascii="微软雅黑" w:hAnsi="微软雅黑" w:eastAsia="微软雅黑"/>
          <w:sz w:val="24"/>
        </w:rPr>
        <w:t>届ChinaJoy展览会</w:t>
      </w:r>
      <w:r>
        <w:rPr>
          <w:rFonts w:hint="eastAsia" w:ascii="微软雅黑" w:hAnsi="微软雅黑" w:eastAsia="微软雅黑"/>
          <w:sz w:val="24"/>
          <w:lang w:val="en-US" w:eastAsia="zh-CN"/>
        </w:rPr>
        <w:t>将</w:t>
      </w:r>
      <w:r>
        <w:rPr>
          <w:rFonts w:hint="eastAsia" w:ascii="微软雅黑" w:hAnsi="微软雅黑" w:eastAsia="微软雅黑"/>
          <w:sz w:val="24"/>
        </w:rPr>
        <w:t>于上海新国际博览中心举办。今年的展会主题是“</w:t>
      </w:r>
      <w:r>
        <w:rPr>
          <w:rFonts w:hint="eastAsia" w:ascii="微软雅黑" w:hAnsi="微软雅黑" w:eastAsia="微软雅黑"/>
          <w:sz w:val="24"/>
          <w:lang w:val="en-US" w:eastAsia="zh-CN"/>
        </w:rPr>
        <w:t>与AI同游</w:t>
      </w:r>
      <w:r>
        <w:rPr>
          <w:rFonts w:hint="eastAsia" w:ascii="微软雅黑" w:hAnsi="微软雅黑" w:eastAsia="微软雅黑"/>
          <w:sz w:val="24"/>
        </w:rPr>
        <w:t>”。</w:t>
      </w:r>
      <w:r>
        <w:rPr>
          <w:rFonts w:hint="eastAsia" w:ascii="微软雅黑" w:hAnsi="微软雅黑" w:eastAsia="微软雅黑"/>
          <w:sz w:val="24"/>
          <w:lang w:val="en-US" w:eastAsia="zh-CN"/>
        </w:rPr>
        <w:t>2025年</w:t>
      </w:r>
      <w:r>
        <w:rPr>
          <w:rFonts w:hint="eastAsia" w:ascii="微软雅黑" w:hAnsi="微软雅黑" w:eastAsia="微软雅黑"/>
          <w:sz w:val="24"/>
        </w:rPr>
        <w:t>ChinaJoy展</w:t>
      </w:r>
      <w:r>
        <w:rPr>
          <w:rFonts w:hint="eastAsia" w:ascii="微软雅黑" w:hAnsi="微软雅黑" w:eastAsia="微软雅黑"/>
          <w:sz w:val="24"/>
          <w:lang w:eastAsia="zh-CN"/>
        </w:rPr>
        <w:t>将</w:t>
      </w:r>
      <w:r>
        <w:rPr>
          <w:rFonts w:hint="eastAsia" w:ascii="微软雅黑" w:hAnsi="微软雅黑" w:eastAsia="微软雅黑"/>
          <w:sz w:val="24"/>
        </w:rPr>
        <w:t>会共占据11个展馆，整体展出面积突破12万平米，其中BTOC展区参展企业200余家，展区面积超过10万平米；BTOB展区参展企业接近300家，展区面积近2万平米，BTOB外资企业近百家，占比35%。近500家中外参展企业来自22个国家和地区，其中包括：阿联酋、巴西、比利时、德国、俄罗斯、法国、韩国、荷兰、加拿大、美国、日本、瑞典、乌拉圭、新加坡、以色列、印度、印尼、英国、越南19个国家在内的外资企业100余家，整体占比30%。展会四天合计入场人数达到</w:t>
      </w:r>
      <w:r>
        <w:rPr>
          <w:rFonts w:hint="eastAsia" w:ascii="微软雅黑" w:hAnsi="微软雅黑" w:eastAsia="微软雅黑"/>
          <w:sz w:val="24"/>
          <w:lang w:val="en-US" w:eastAsia="zh-CN"/>
        </w:rPr>
        <w:t>41.03</w:t>
      </w:r>
      <w:r>
        <w:rPr>
          <w:rFonts w:hint="eastAsia" w:ascii="微软雅黑" w:hAnsi="微软雅黑" w:eastAsia="微软雅黑"/>
          <w:sz w:val="24"/>
        </w:rPr>
        <w:t>万人次；其中，BTOB展区展会三天合计入场人数达到</w:t>
      </w:r>
      <w:r>
        <w:rPr>
          <w:rFonts w:hint="eastAsia" w:ascii="微软雅黑" w:hAnsi="微软雅黑" w:eastAsia="微软雅黑"/>
          <w:sz w:val="24"/>
          <w:lang w:val="en-US" w:eastAsia="zh-CN"/>
        </w:rPr>
        <w:t>41230</w:t>
      </w:r>
      <w:r>
        <w:rPr>
          <w:rFonts w:hint="eastAsia" w:ascii="微软雅黑" w:hAnsi="微软雅黑" w:eastAsia="微软雅黑"/>
          <w:sz w:val="24"/>
        </w:rPr>
        <w:t>人次、媒体记者展会四天合计入场人数达到3663人次。</w:t>
      </w:r>
    </w:p>
    <w:p w14:paraId="6E5B66A0">
      <w:pPr>
        <w:spacing w:line="360" w:lineRule="auto"/>
        <w:ind w:firstLine="840" w:firstLineChars="350"/>
        <w:rPr>
          <w:rFonts w:ascii="微软雅黑" w:hAnsi="微软雅黑" w:eastAsia="微软雅黑"/>
          <w:sz w:val="24"/>
        </w:rPr>
      </w:pPr>
      <w:r>
        <w:rPr>
          <w:rFonts w:ascii="微软雅黑" w:hAnsi="微软雅黑" w:eastAsia="微软雅黑"/>
          <w:sz w:val="24"/>
        </w:rPr>
        <w:t>详情请登陆：</w:t>
      </w:r>
      <w:r>
        <w:fldChar w:fldCharType="begin"/>
      </w:r>
      <w:r>
        <w:instrText xml:space="preserve"> HYPERLINK "http://www.chinajoy.net" </w:instrText>
      </w:r>
      <w:r>
        <w:fldChar w:fldCharType="separate"/>
      </w:r>
      <w:r>
        <w:rPr>
          <w:rStyle w:val="9"/>
          <w:rFonts w:ascii="微软雅黑" w:hAnsi="微软雅黑" w:eastAsia="微软雅黑"/>
          <w:sz w:val="24"/>
        </w:rPr>
        <w:t>www.chinajoy.net</w:t>
      </w:r>
      <w:r>
        <w:rPr>
          <w:rStyle w:val="9"/>
          <w:rFonts w:ascii="微软雅黑" w:hAnsi="微软雅黑" w:eastAsia="微软雅黑"/>
          <w:sz w:val="24"/>
        </w:rPr>
        <w:fldChar w:fldCharType="end"/>
      </w:r>
    </w:p>
    <w:p w14:paraId="7E08C7C4">
      <w:pPr>
        <w:spacing w:line="360" w:lineRule="auto"/>
        <w:ind w:firstLine="567"/>
        <w:rPr>
          <w:rFonts w:ascii="微软雅黑" w:hAnsi="微软雅黑" w:eastAsia="微软雅黑"/>
          <w:sz w:val="24"/>
        </w:rPr>
      </w:pPr>
    </w:p>
    <w:p w14:paraId="0643DAE4">
      <w:pPr>
        <w:spacing w:line="360" w:lineRule="auto"/>
        <w:ind w:firstLine="567"/>
        <w:rPr>
          <w:rFonts w:ascii="微软雅黑" w:hAnsi="微软雅黑" w:eastAsia="微软雅黑"/>
          <w:sz w:val="24"/>
        </w:rPr>
      </w:pPr>
    </w:p>
    <w:p w14:paraId="59B90D4F">
      <w:pPr>
        <w:spacing w:line="360" w:lineRule="auto"/>
        <w:rPr>
          <w:rFonts w:ascii="微软雅黑" w:hAnsi="微软雅黑" w:eastAsia="微软雅黑"/>
          <w:sz w:val="24"/>
        </w:rPr>
      </w:pPr>
    </w:p>
    <w:p w14:paraId="2B8EF4E8">
      <w:pPr>
        <w:spacing w:line="360" w:lineRule="auto"/>
        <w:rPr>
          <w:rFonts w:ascii="微软雅黑" w:hAnsi="微软雅黑" w:eastAsia="微软雅黑"/>
          <w:sz w:val="24"/>
        </w:rPr>
      </w:pPr>
      <w:r>
        <w:rPr>
          <w:rFonts w:hint="eastAsia" w:ascii="微软雅黑" w:hAnsi="微软雅黑" w:eastAsia="微软雅黑"/>
          <w:sz w:val="24"/>
        </w:rPr>
        <w:t>近几届展览会概况</w:t>
      </w:r>
    </w:p>
    <w:tbl>
      <w:tblPr>
        <w:tblStyle w:val="6"/>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3"/>
        <w:gridCol w:w="4720"/>
      </w:tblGrid>
      <w:tr w14:paraId="0BF9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4443" w:type="dxa"/>
          </w:tcPr>
          <w:p w14:paraId="7EBFCC33">
            <w:pPr>
              <w:spacing w:line="360" w:lineRule="auto"/>
              <w:rPr>
                <w:rFonts w:ascii="微软雅黑" w:hAnsi="微软雅黑" w:eastAsia="微软雅黑" w:cs="Tahoma"/>
                <w:sz w:val="24"/>
              </w:rPr>
            </w:pPr>
          </w:p>
          <w:p w14:paraId="5571B7FC">
            <w:pPr>
              <w:spacing w:line="360" w:lineRule="auto"/>
              <w:rPr>
                <w:rFonts w:ascii="微软雅黑" w:hAnsi="微软雅黑" w:eastAsia="微软雅黑" w:cs="Tahoma"/>
                <w:sz w:val="24"/>
              </w:rPr>
            </w:pPr>
            <w:r>
              <w:rPr>
                <w:rFonts w:hint="eastAsia" w:ascii="微软雅黑" w:hAnsi="微软雅黑" w:eastAsia="微软雅黑" w:cs="Tahoma"/>
                <w:sz w:val="24"/>
              </w:rPr>
              <w:t>第十五届2015年7月上海</w:t>
            </w:r>
          </w:p>
          <w:p w14:paraId="05CA2ADB">
            <w:pPr>
              <w:spacing w:line="360" w:lineRule="auto"/>
              <w:rPr>
                <w:rFonts w:ascii="微软雅黑" w:hAnsi="微软雅黑" w:eastAsia="微软雅黑" w:cs="Tahoma"/>
                <w:sz w:val="24"/>
              </w:rPr>
            </w:pPr>
          </w:p>
        </w:tc>
        <w:tc>
          <w:tcPr>
            <w:tcW w:w="4720" w:type="dxa"/>
          </w:tcPr>
          <w:p w14:paraId="60C91DDB">
            <w:pPr>
              <w:spacing w:line="360" w:lineRule="auto"/>
              <w:rPr>
                <w:rFonts w:ascii="微软雅黑" w:hAnsi="微软雅黑" w:eastAsia="微软雅黑" w:cs="Tahoma"/>
                <w:sz w:val="24"/>
              </w:rPr>
            </w:pPr>
            <w:r>
              <w:rPr>
                <w:rFonts w:hint="eastAsia" w:ascii="微软雅黑" w:hAnsi="微软雅黑" w:eastAsia="微软雅黑"/>
                <w:sz w:val="24"/>
              </w:rPr>
              <w:t>展会</w:t>
            </w:r>
            <w:r>
              <w:rPr>
                <w:rFonts w:hint="eastAsia" w:ascii="微软雅黑" w:hAnsi="微软雅黑" w:eastAsia="微软雅黑" w:cs="Tahoma"/>
                <w:sz w:val="24"/>
              </w:rPr>
              <w:t>面积：100000平米</w:t>
            </w:r>
          </w:p>
          <w:p w14:paraId="5120F330">
            <w:pPr>
              <w:spacing w:line="360" w:lineRule="auto"/>
              <w:rPr>
                <w:rFonts w:ascii="微软雅黑" w:hAnsi="微软雅黑" w:eastAsia="微软雅黑" w:cs="Tahoma"/>
                <w:sz w:val="24"/>
              </w:rPr>
            </w:pPr>
            <w:r>
              <w:rPr>
                <w:rFonts w:hint="eastAsia" w:ascii="微软雅黑" w:hAnsi="微软雅黑" w:eastAsia="微软雅黑" w:cs="Tahoma"/>
                <w:sz w:val="24"/>
              </w:rPr>
              <w:t>观众：28万人（四天）</w:t>
            </w:r>
          </w:p>
          <w:p w14:paraId="0C207625">
            <w:pPr>
              <w:spacing w:line="360" w:lineRule="auto"/>
              <w:rPr>
                <w:rFonts w:ascii="微软雅黑" w:hAnsi="微软雅黑" w:eastAsia="微软雅黑" w:cs="Tahoma"/>
                <w:sz w:val="24"/>
              </w:rPr>
            </w:pPr>
            <w:r>
              <w:rPr>
                <w:rFonts w:hint="eastAsia" w:ascii="微软雅黑" w:hAnsi="微软雅黑" w:eastAsia="微软雅黑" w:cs="Tahoma"/>
                <w:sz w:val="24"/>
              </w:rPr>
              <w:t>参展公司：600余家</w:t>
            </w:r>
          </w:p>
        </w:tc>
      </w:tr>
      <w:tr w14:paraId="5D10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43" w:type="dxa"/>
          </w:tcPr>
          <w:p w14:paraId="0A1675F8">
            <w:pPr>
              <w:spacing w:line="360" w:lineRule="auto"/>
              <w:rPr>
                <w:rFonts w:ascii="微软雅黑" w:hAnsi="微软雅黑" w:eastAsia="微软雅黑" w:cs="Tahoma"/>
                <w:sz w:val="24"/>
              </w:rPr>
            </w:pPr>
          </w:p>
          <w:p w14:paraId="12C8B0CD">
            <w:pPr>
              <w:spacing w:line="360" w:lineRule="auto"/>
              <w:rPr>
                <w:rFonts w:ascii="微软雅黑" w:hAnsi="微软雅黑" w:eastAsia="微软雅黑" w:cs="Tahoma"/>
                <w:sz w:val="24"/>
              </w:rPr>
            </w:pPr>
            <w:r>
              <w:rPr>
                <w:rFonts w:hint="eastAsia" w:ascii="微软雅黑" w:hAnsi="微软雅黑" w:eastAsia="微软雅黑" w:cs="Tahoma"/>
                <w:sz w:val="24"/>
              </w:rPr>
              <w:t>第十六届2016年7月上海</w:t>
            </w:r>
          </w:p>
          <w:p w14:paraId="3E2AE9F8">
            <w:pPr>
              <w:spacing w:line="360" w:lineRule="auto"/>
              <w:rPr>
                <w:rFonts w:ascii="微软雅黑" w:hAnsi="微软雅黑" w:eastAsia="微软雅黑" w:cs="Tahoma"/>
                <w:sz w:val="24"/>
              </w:rPr>
            </w:pPr>
          </w:p>
        </w:tc>
        <w:tc>
          <w:tcPr>
            <w:tcW w:w="4720" w:type="dxa"/>
          </w:tcPr>
          <w:p w14:paraId="4C5B48E9">
            <w:pPr>
              <w:spacing w:line="360" w:lineRule="auto"/>
              <w:rPr>
                <w:rFonts w:ascii="微软雅黑" w:hAnsi="微软雅黑" w:eastAsia="微软雅黑" w:cs="Tahoma"/>
                <w:sz w:val="24"/>
              </w:rPr>
            </w:pPr>
            <w:r>
              <w:rPr>
                <w:rFonts w:hint="eastAsia" w:ascii="微软雅黑" w:hAnsi="微软雅黑" w:eastAsia="微软雅黑"/>
                <w:sz w:val="24"/>
              </w:rPr>
              <w:t>展会</w:t>
            </w:r>
            <w:r>
              <w:rPr>
                <w:rFonts w:hint="eastAsia" w:ascii="微软雅黑" w:hAnsi="微软雅黑" w:eastAsia="微软雅黑" w:cs="Tahoma"/>
                <w:sz w:val="24"/>
              </w:rPr>
              <w:t>面积：150000平米</w:t>
            </w:r>
          </w:p>
          <w:p w14:paraId="5CA1B997">
            <w:pPr>
              <w:spacing w:line="360" w:lineRule="auto"/>
              <w:rPr>
                <w:rFonts w:ascii="微软雅黑" w:hAnsi="微软雅黑" w:eastAsia="微软雅黑" w:cs="Tahoma"/>
                <w:sz w:val="24"/>
              </w:rPr>
            </w:pPr>
            <w:r>
              <w:rPr>
                <w:rFonts w:hint="eastAsia" w:ascii="微软雅黑" w:hAnsi="微软雅黑" w:eastAsia="微软雅黑" w:cs="Tahoma"/>
                <w:sz w:val="24"/>
              </w:rPr>
              <w:t>观众：32万人（四天）</w:t>
            </w:r>
          </w:p>
          <w:p w14:paraId="1A1926F1">
            <w:pPr>
              <w:spacing w:line="360" w:lineRule="auto"/>
              <w:rPr>
                <w:rFonts w:ascii="微软雅黑" w:hAnsi="微软雅黑" w:eastAsia="微软雅黑" w:cs="Tahoma"/>
                <w:sz w:val="24"/>
              </w:rPr>
            </w:pPr>
            <w:r>
              <w:rPr>
                <w:rFonts w:hint="eastAsia" w:ascii="微软雅黑" w:hAnsi="微软雅黑" w:eastAsia="微软雅黑" w:cs="Tahoma"/>
                <w:sz w:val="24"/>
              </w:rPr>
              <w:t>参展公司：800余家</w:t>
            </w:r>
          </w:p>
        </w:tc>
      </w:tr>
      <w:tr w14:paraId="78EC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443" w:type="dxa"/>
          </w:tcPr>
          <w:p w14:paraId="377F877F">
            <w:pPr>
              <w:spacing w:line="360" w:lineRule="auto"/>
              <w:rPr>
                <w:rFonts w:ascii="微软雅黑" w:hAnsi="微软雅黑" w:eastAsia="微软雅黑" w:cs="Tahoma"/>
                <w:sz w:val="24"/>
              </w:rPr>
            </w:pPr>
          </w:p>
          <w:p w14:paraId="2A0E8A1C">
            <w:pPr>
              <w:spacing w:line="360" w:lineRule="auto"/>
              <w:rPr>
                <w:rFonts w:ascii="微软雅黑" w:hAnsi="微软雅黑" w:eastAsia="微软雅黑" w:cs="Tahoma"/>
                <w:sz w:val="24"/>
              </w:rPr>
            </w:pPr>
            <w:r>
              <w:rPr>
                <w:rFonts w:hint="eastAsia" w:ascii="微软雅黑" w:hAnsi="微软雅黑" w:eastAsia="微软雅黑" w:cs="Tahoma"/>
                <w:sz w:val="24"/>
              </w:rPr>
              <w:t>第十七届2017年7月上海</w:t>
            </w:r>
          </w:p>
        </w:tc>
        <w:tc>
          <w:tcPr>
            <w:tcW w:w="4720" w:type="dxa"/>
          </w:tcPr>
          <w:p w14:paraId="43CBDD17">
            <w:pPr>
              <w:spacing w:line="360" w:lineRule="auto"/>
              <w:rPr>
                <w:rFonts w:ascii="微软雅黑" w:hAnsi="微软雅黑" w:eastAsia="微软雅黑" w:cs="Tahoma"/>
                <w:sz w:val="24"/>
              </w:rPr>
            </w:pPr>
            <w:r>
              <w:rPr>
                <w:rFonts w:hint="eastAsia" w:ascii="微软雅黑" w:hAnsi="微软雅黑" w:eastAsia="微软雅黑"/>
                <w:sz w:val="24"/>
              </w:rPr>
              <w:t>展会</w:t>
            </w:r>
            <w:r>
              <w:rPr>
                <w:rFonts w:hint="eastAsia" w:ascii="微软雅黑" w:hAnsi="微软雅黑" w:eastAsia="微软雅黑" w:cs="Tahoma"/>
                <w:sz w:val="24"/>
              </w:rPr>
              <w:t>面积：160000平米</w:t>
            </w:r>
          </w:p>
          <w:p w14:paraId="5B3261A5">
            <w:pPr>
              <w:spacing w:line="360" w:lineRule="auto"/>
              <w:rPr>
                <w:rFonts w:ascii="微软雅黑" w:hAnsi="微软雅黑" w:eastAsia="微软雅黑" w:cs="Tahoma"/>
                <w:sz w:val="24"/>
              </w:rPr>
            </w:pPr>
            <w:r>
              <w:rPr>
                <w:rFonts w:hint="eastAsia" w:ascii="微软雅黑" w:hAnsi="微软雅黑" w:eastAsia="微软雅黑" w:cs="Tahoma"/>
                <w:sz w:val="24"/>
              </w:rPr>
              <w:t>观众：35万人（四天）</w:t>
            </w:r>
          </w:p>
          <w:p w14:paraId="105C60E1">
            <w:pPr>
              <w:spacing w:line="360" w:lineRule="auto"/>
              <w:rPr>
                <w:rFonts w:ascii="微软雅黑" w:hAnsi="微软雅黑" w:eastAsia="微软雅黑" w:cs="Tahoma"/>
                <w:b/>
                <w:sz w:val="24"/>
              </w:rPr>
            </w:pPr>
            <w:r>
              <w:rPr>
                <w:rFonts w:hint="eastAsia" w:ascii="微软雅黑" w:hAnsi="微软雅黑" w:eastAsia="微软雅黑" w:cs="Tahoma"/>
                <w:sz w:val="24"/>
              </w:rPr>
              <w:t>参展公司：900余家</w:t>
            </w:r>
          </w:p>
        </w:tc>
      </w:tr>
      <w:tr w14:paraId="5AE5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443" w:type="dxa"/>
            <w:vAlign w:val="top"/>
          </w:tcPr>
          <w:p w14:paraId="352D6096">
            <w:pPr>
              <w:spacing w:line="360" w:lineRule="auto"/>
              <w:rPr>
                <w:rFonts w:ascii="微软雅黑" w:hAnsi="微软雅黑" w:eastAsia="微软雅黑" w:cs="Tahoma"/>
                <w:sz w:val="24"/>
              </w:rPr>
            </w:pPr>
          </w:p>
          <w:p w14:paraId="22C180D1">
            <w:pPr>
              <w:spacing w:line="360" w:lineRule="auto"/>
              <w:rPr>
                <w:rFonts w:hint="eastAsia" w:ascii="微软雅黑" w:hAnsi="微软雅黑" w:eastAsia="微软雅黑" w:cs="Tahoma"/>
                <w:kern w:val="2"/>
                <w:sz w:val="24"/>
                <w:szCs w:val="22"/>
                <w:lang w:val="en-US" w:eastAsia="zh-CN" w:bidi="ar-SA"/>
              </w:rPr>
            </w:pPr>
            <w:r>
              <w:rPr>
                <w:rFonts w:hint="eastAsia" w:ascii="微软雅黑" w:hAnsi="微软雅黑" w:eastAsia="微软雅黑" w:cs="Tahoma"/>
                <w:sz w:val="24"/>
              </w:rPr>
              <w:t>第</w:t>
            </w:r>
            <w:r>
              <w:rPr>
                <w:rFonts w:hint="eastAsia" w:ascii="微软雅黑" w:hAnsi="微软雅黑" w:eastAsia="微软雅黑" w:cs="Tahoma"/>
                <w:sz w:val="24"/>
                <w:lang w:val="en-US" w:eastAsia="zh-CN"/>
              </w:rPr>
              <w:t>二十一</w:t>
            </w:r>
            <w:r>
              <w:rPr>
                <w:rFonts w:hint="eastAsia" w:ascii="微软雅黑" w:hAnsi="微软雅黑" w:eastAsia="微软雅黑" w:cs="Tahoma"/>
                <w:sz w:val="24"/>
              </w:rPr>
              <w:t>届</w:t>
            </w:r>
            <w:r>
              <w:rPr>
                <w:rFonts w:hint="eastAsia" w:ascii="微软雅黑" w:hAnsi="微软雅黑" w:eastAsia="微软雅黑" w:cs="Tahoma"/>
                <w:sz w:val="24"/>
                <w:lang w:eastAsia="zh-CN"/>
              </w:rPr>
              <w:t>2024</w:t>
            </w:r>
            <w:r>
              <w:rPr>
                <w:rFonts w:hint="eastAsia" w:ascii="微软雅黑" w:hAnsi="微软雅黑" w:eastAsia="微软雅黑" w:cs="Tahoma"/>
                <w:sz w:val="24"/>
              </w:rPr>
              <w:t>年7月上海</w:t>
            </w:r>
          </w:p>
        </w:tc>
        <w:tc>
          <w:tcPr>
            <w:tcW w:w="4720" w:type="dxa"/>
            <w:vAlign w:val="top"/>
          </w:tcPr>
          <w:p w14:paraId="7D6DB7D7">
            <w:pPr>
              <w:spacing w:line="360" w:lineRule="auto"/>
              <w:rPr>
                <w:rFonts w:ascii="微软雅黑" w:hAnsi="微软雅黑" w:eastAsia="微软雅黑" w:cs="Tahoma"/>
                <w:sz w:val="24"/>
              </w:rPr>
            </w:pPr>
            <w:r>
              <w:rPr>
                <w:rFonts w:hint="eastAsia" w:ascii="微软雅黑" w:hAnsi="微软雅黑" w:eastAsia="微软雅黑"/>
                <w:sz w:val="24"/>
              </w:rPr>
              <w:t>展会</w:t>
            </w:r>
            <w:r>
              <w:rPr>
                <w:rFonts w:hint="eastAsia" w:ascii="微软雅黑" w:hAnsi="微软雅黑" w:eastAsia="微软雅黑" w:cs="Tahoma"/>
                <w:sz w:val="24"/>
              </w:rPr>
              <w:t>面积：160000平米</w:t>
            </w:r>
          </w:p>
          <w:p w14:paraId="35BE442A">
            <w:pPr>
              <w:spacing w:line="360" w:lineRule="auto"/>
              <w:rPr>
                <w:rFonts w:ascii="微软雅黑" w:hAnsi="微软雅黑" w:eastAsia="微软雅黑" w:cs="Tahoma"/>
                <w:sz w:val="24"/>
              </w:rPr>
            </w:pPr>
            <w:r>
              <w:rPr>
                <w:rFonts w:hint="eastAsia" w:ascii="微软雅黑" w:hAnsi="微软雅黑" w:eastAsia="微软雅黑" w:cs="Tahoma"/>
                <w:sz w:val="24"/>
              </w:rPr>
              <w:t>观众：35万人（四天）</w:t>
            </w:r>
          </w:p>
          <w:p w14:paraId="14B69F33">
            <w:pPr>
              <w:spacing w:line="360" w:lineRule="auto"/>
              <w:rPr>
                <w:rFonts w:hint="eastAsia" w:ascii="微软雅黑" w:hAnsi="微软雅黑" w:eastAsia="微软雅黑" w:cs="Tahoma"/>
                <w:b/>
                <w:kern w:val="2"/>
                <w:sz w:val="24"/>
                <w:szCs w:val="22"/>
                <w:lang w:val="en-US" w:eastAsia="zh-CN" w:bidi="ar-SA"/>
              </w:rPr>
            </w:pPr>
            <w:r>
              <w:rPr>
                <w:rFonts w:hint="eastAsia" w:ascii="微软雅黑" w:hAnsi="微软雅黑" w:eastAsia="微软雅黑" w:cs="Tahoma"/>
                <w:sz w:val="24"/>
              </w:rPr>
              <w:t>参展公司：900余家</w:t>
            </w:r>
          </w:p>
        </w:tc>
      </w:tr>
      <w:tr w14:paraId="590E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443" w:type="dxa"/>
            <w:vAlign w:val="top"/>
          </w:tcPr>
          <w:p w14:paraId="2ADA0A9C">
            <w:pPr>
              <w:spacing w:line="360" w:lineRule="auto"/>
              <w:jc w:val="center"/>
              <w:rPr>
                <w:rFonts w:hint="eastAsia" w:ascii="微软雅黑" w:hAnsi="微软雅黑" w:eastAsia="微软雅黑" w:cs="Tahoma"/>
                <w:sz w:val="24"/>
              </w:rPr>
            </w:pPr>
          </w:p>
          <w:p w14:paraId="6CB2D5C7">
            <w:pPr>
              <w:spacing w:line="360" w:lineRule="auto"/>
              <w:jc w:val="both"/>
              <w:rPr>
                <w:rFonts w:hint="eastAsia" w:ascii="微软雅黑" w:hAnsi="微软雅黑" w:eastAsia="微软雅黑" w:cs="Tahoma"/>
                <w:sz w:val="24"/>
              </w:rPr>
            </w:pPr>
            <w:r>
              <w:rPr>
                <w:rFonts w:hint="eastAsia" w:ascii="微软雅黑" w:hAnsi="微软雅黑" w:eastAsia="微软雅黑" w:cs="Tahoma"/>
                <w:sz w:val="24"/>
              </w:rPr>
              <w:t>第</w:t>
            </w:r>
            <w:r>
              <w:rPr>
                <w:rFonts w:hint="eastAsia" w:ascii="微软雅黑" w:hAnsi="微软雅黑" w:eastAsia="微软雅黑" w:cs="Tahoma"/>
                <w:sz w:val="24"/>
                <w:lang w:val="en-US" w:eastAsia="zh-CN"/>
              </w:rPr>
              <w:t>二十二</w:t>
            </w:r>
            <w:r>
              <w:rPr>
                <w:rFonts w:hint="eastAsia" w:ascii="微软雅黑" w:hAnsi="微软雅黑" w:eastAsia="微软雅黑" w:cs="Tahoma"/>
                <w:sz w:val="24"/>
              </w:rPr>
              <w:t>届</w:t>
            </w:r>
            <w:r>
              <w:rPr>
                <w:rFonts w:hint="eastAsia" w:ascii="微软雅黑" w:hAnsi="微软雅黑" w:eastAsia="微软雅黑" w:cs="Tahoma"/>
                <w:sz w:val="24"/>
                <w:lang w:eastAsia="zh-CN"/>
              </w:rPr>
              <w:t>202</w:t>
            </w:r>
            <w:r>
              <w:rPr>
                <w:rFonts w:hint="eastAsia" w:ascii="微软雅黑" w:hAnsi="微软雅黑" w:eastAsia="微软雅黑" w:cs="Tahoma"/>
                <w:sz w:val="24"/>
                <w:lang w:val="en-US" w:eastAsia="zh-CN"/>
              </w:rPr>
              <w:t>5</w:t>
            </w:r>
            <w:r>
              <w:rPr>
                <w:rFonts w:hint="eastAsia" w:ascii="微软雅黑" w:hAnsi="微软雅黑" w:eastAsia="微软雅黑" w:cs="Tahoma"/>
                <w:sz w:val="24"/>
              </w:rPr>
              <w:t>年</w:t>
            </w:r>
            <w:r>
              <w:rPr>
                <w:rFonts w:hint="eastAsia" w:ascii="微软雅黑" w:hAnsi="微软雅黑" w:eastAsia="微软雅黑" w:cs="Tahoma"/>
                <w:sz w:val="24"/>
                <w:lang w:val="en-US" w:eastAsia="zh-CN"/>
              </w:rPr>
              <w:t>8</w:t>
            </w:r>
            <w:r>
              <w:rPr>
                <w:rFonts w:hint="eastAsia" w:ascii="微软雅黑" w:hAnsi="微软雅黑" w:eastAsia="微软雅黑" w:cs="Tahoma"/>
                <w:sz w:val="24"/>
              </w:rPr>
              <w:t>月上海</w:t>
            </w:r>
          </w:p>
        </w:tc>
        <w:tc>
          <w:tcPr>
            <w:tcW w:w="4720" w:type="dxa"/>
            <w:vAlign w:val="top"/>
          </w:tcPr>
          <w:p w14:paraId="23DBF8BC">
            <w:pPr>
              <w:spacing w:line="360" w:lineRule="auto"/>
              <w:rPr>
                <w:rFonts w:ascii="微软雅黑" w:hAnsi="微软雅黑" w:eastAsia="微软雅黑" w:cs="Tahoma"/>
                <w:sz w:val="24"/>
              </w:rPr>
            </w:pPr>
            <w:r>
              <w:rPr>
                <w:rFonts w:hint="eastAsia" w:ascii="微软雅黑" w:hAnsi="微软雅黑" w:eastAsia="微软雅黑"/>
                <w:sz w:val="24"/>
              </w:rPr>
              <w:t>展会</w:t>
            </w:r>
            <w:r>
              <w:rPr>
                <w:rFonts w:hint="eastAsia" w:ascii="微软雅黑" w:hAnsi="微软雅黑" w:eastAsia="微软雅黑" w:cs="Tahoma"/>
                <w:sz w:val="24"/>
              </w:rPr>
              <w:t>面积：160000平米</w:t>
            </w:r>
          </w:p>
          <w:p w14:paraId="394E4FD0">
            <w:pPr>
              <w:spacing w:line="360" w:lineRule="auto"/>
              <w:rPr>
                <w:rFonts w:ascii="微软雅黑" w:hAnsi="微软雅黑" w:eastAsia="微软雅黑" w:cs="Tahoma"/>
                <w:sz w:val="24"/>
              </w:rPr>
            </w:pPr>
            <w:r>
              <w:rPr>
                <w:rFonts w:hint="eastAsia" w:ascii="微软雅黑" w:hAnsi="微软雅黑" w:eastAsia="微软雅黑" w:cs="Tahoma"/>
                <w:sz w:val="24"/>
              </w:rPr>
              <w:t>观众：</w:t>
            </w:r>
            <w:r>
              <w:rPr>
                <w:rFonts w:hint="eastAsia" w:ascii="微软雅黑" w:hAnsi="微软雅黑" w:eastAsia="微软雅黑" w:cs="Tahoma"/>
                <w:sz w:val="24"/>
                <w:lang w:val="en-US" w:eastAsia="zh-CN"/>
              </w:rPr>
              <w:t>41</w:t>
            </w:r>
            <w:r>
              <w:rPr>
                <w:rFonts w:hint="eastAsia" w:ascii="微软雅黑" w:hAnsi="微软雅黑" w:eastAsia="微软雅黑" w:cs="Tahoma"/>
                <w:sz w:val="24"/>
              </w:rPr>
              <w:t>万人（四天）</w:t>
            </w:r>
          </w:p>
          <w:p w14:paraId="0B94E727">
            <w:pPr>
              <w:spacing w:line="360" w:lineRule="auto"/>
              <w:rPr>
                <w:rFonts w:hint="eastAsia" w:ascii="微软雅黑" w:hAnsi="微软雅黑" w:eastAsia="微软雅黑" w:cs="Tahoma"/>
                <w:sz w:val="24"/>
              </w:rPr>
            </w:pPr>
            <w:r>
              <w:rPr>
                <w:rFonts w:hint="eastAsia" w:ascii="微软雅黑" w:hAnsi="微软雅黑" w:eastAsia="微软雅黑" w:cs="Tahoma"/>
                <w:sz w:val="24"/>
              </w:rPr>
              <w:t>参展公司：900余家</w:t>
            </w:r>
          </w:p>
        </w:tc>
      </w:tr>
    </w:tbl>
    <w:p w14:paraId="020226FF">
      <w:pPr>
        <w:spacing w:line="360" w:lineRule="auto"/>
        <w:rPr>
          <w:rFonts w:ascii="微软雅黑" w:hAnsi="微软雅黑" w:eastAsia="微软雅黑" w:cs="Tahoma"/>
          <w:b/>
          <w:sz w:val="24"/>
        </w:rPr>
      </w:pPr>
    </w:p>
    <w:p w14:paraId="37E27401">
      <w:pPr>
        <w:spacing w:line="360" w:lineRule="auto"/>
        <w:rPr>
          <w:rFonts w:ascii="微软雅黑" w:hAnsi="微软雅黑" w:eastAsia="微软雅黑" w:cs="Tahoma"/>
          <w:b/>
          <w:sz w:val="24"/>
        </w:rPr>
      </w:pPr>
      <w:r>
        <w:rPr>
          <w:rFonts w:hint="eastAsia" w:ascii="微软雅黑" w:hAnsi="微软雅黑" w:eastAsia="微软雅黑" w:cs="Tahoma"/>
          <w:b/>
          <w:sz w:val="24"/>
        </w:rPr>
        <w:t>三、招标宗旨：</w:t>
      </w:r>
    </w:p>
    <w:p w14:paraId="221A6F81">
      <w:pPr>
        <w:spacing w:line="360" w:lineRule="auto"/>
        <w:ind w:firstLine="420"/>
        <w:rPr>
          <w:rFonts w:ascii="微软雅黑" w:hAnsi="微软雅黑" w:eastAsia="微软雅黑"/>
          <w:b/>
          <w:color w:val="000000"/>
          <w:sz w:val="24"/>
        </w:rPr>
      </w:pPr>
      <w:r>
        <w:rPr>
          <w:rFonts w:hint="eastAsia" w:ascii="微软雅黑" w:hAnsi="微软雅黑" w:eastAsia="微软雅黑"/>
          <w:sz w:val="24"/>
        </w:rPr>
        <w:t>为了贯彻</w:t>
      </w:r>
      <w:r>
        <w:rPr>
          <w:rFonts w:hint="eastAsia" w:ascii="微软雅黑" w:hAnsi="微软雅黑" w:eastAsia="微软雅黑"/>
          <w:sz w:val="24"/>
          <w:lang w:eastAsia="zh-CN"/>
        </w:rPr>
        <w:t>主办方</w:t>
      </w:r>
      <w:r>
        <w:rPr>
          <w:rFonts w:hint="eastAsia" w:ascii="微软雅黑" w:hAnsi="微软雅黑" w:eastAsia="微软雅黑"/>
          <w:sz w:val="24"/>
        </w:rPr>
        <w:t>在第四届中国国际数码互动娱乐展览会总结会上关于消除展览会展台搭建环节存在的种种隐患，避免对ChinaJoy展会活动产生负面影响的指导思想，同时也为了更好的配合，支持各参展商的参展要求和展台搭建效果。</w:t>
      </w:r>
      <w:r>
        <w:rPr>
          <w:rFonts w:hint="eastAsia" w:ascii="微软雅黑" w:hAnsi="微软雅黑" w:eastAsia="微软雅黑"/>
          <w:color w:val="000000"/>
          <w:sz w:val="24"/>
          <w:lang w:eastAsia="zh-CN"/>
        </w:rPr>
        <w:t>主办方</w:t>
      </w:r>
      <w:r>
        <w:rPr>
          <w:rFonts w:hint="eastAsia" w:ascii="微软雅黑" w:hAnsi="微软雅黑" w:eastAsia="微软雅黑"/>
          <w:sz w:val="24"/>
        </w:rPr>
        <w:t>经过多次会议总结和讨论，</w:t>
      </w:r>
      <w:r>
        <w:rPr>
          <w:rFonts w:hint="eastAsia" w:ascii="微软雅黑" w:hAnsi="微软雅黑" w:eastAsia="微软雅黑"/>
          <w:color w:val="000000"/>
          <w:sz w:val="24"/>
        </w:rPr>
        <w:t>同时借鉴国内和国际上其他一些成功展览会的经验，做出决定，从第四届中国国际数码互动娱乐展览会开始，</w:t>
      </w:r>
      <w:r>
        <w:rPr>
          <w:rFonts w:hint="eastAsia" w:ascii="微软雅黑" w:hAnsi="微软雅黑" w:eastAsia="微软雅黑"/>
          <w:color w:val="000000"/>
          <w:sz w:val="24"/>
          <w:lang w:eastAsia="zh-CN"/>
        </w:rPr>
        <w:t>主办方</w:t>
      </w:r>
      <w:r>
        <w:rPr>
          <w:rFonts w:hint="eastAsia" w:ascii="微软雅黑" w:hAnsi="微软雅黑" w:eastAsia="微软雅黑"/>
          <w:color w:val="000000"/>
          <w:sz w:val="24"/>
        </w:rPr>
        <w:t>将在保留展会主场搭建商的基础上，指定</w:t>
      </w:r>
      <w:r>
        <w:rPr>
          <w:rFonts w:hint="eastAsia" w:ascii="微软雅黑" w:hAnsi="微软雅黑" w:eastAsia="微软雅黑"/>
          <w:color w:val="000000"/>
          <w:sz w:val="24"/>
          <w:lang w:val="en-US" w:eastAsia="zh-CN"/>
        </w:rPr>
        <w:t>3</w:t>
      </w:r>
      <w:r>
        <w:rPr>
          <w:rFonts w:ascii="微软雅黑" w:hAnsi="微软雅黑" w:eastAsia="微软雅黑"/>
          <w:color w:val="000000"/>
          <w:sz w:val="24"/>
        </w:rPr>
        <w:t>0</w:t>
      </w:r>
      <w:r>
        <w:rPr>
          <w:rFonts w:hint="eastAsia" w:ascii="微软雅黑" w:hAnsi="微软雅黑" w:eastAsia="微软雅黑"/>
          <w:color w:val="000000"/>
          <w:sz w:val="24"/>
        </w:rPr>
        <w:t>余家的国内具有一定实力的搭建公司为展览会的指定特装搭建商，各参展商需通过在这些公司中经过招标的方式，确定自己特装展位的搭建商。从2006年</w:t>
      </w:r>
      <w:r>
        <w:rPr>
          <w:rFonts w:ascii="微软雅黑" w:hAnsi="微软雅黑" w:eastAsia="微软雅黑"/>
          <w:color w:val="000000"/>
          <w:sz w:val="24"/>
        </w:rPr>
        <w:t>—</w:t>
      </w:r>
      <w:r>
        <w:rPr>
          <w:rFonts w:hint="eastAsia" w:ascii="微软雅黑" w:hAnsi="微软雅黑" w:eastAsia="微软雅黑"/>
          <w:color w:val="000000"/>
          <w:sz w:val="24"/>
          <w:lang w:eastAsia="zh-CN"/>
        </w:rPr>
        <w:t>202</w:t>
      </w:r>
      <w:r>
        <w:rPr>
          <w:rFonts w:hint="eastAsia" w:ascii="微软雅黑" w:hAnsi="微软雅黑" w:eastAsia="微软雅黑"/>
          <w:color w:val="000000"/>
          <w:sz w:val="24"/>
          <w:lang w:val="en-US" w:eastAsia="zh-CN"/>
        </w:rPr>
        <w:t>5</w:t>
      </w:r>
      <w:r>
        <w:rPr>
          <w:rFonts w:hint="eastAsia" w:ascii="微软雅黑" w:hAnsi="微软雅黑" w:eastAsia="微软雅黑"/>
          <w:color w:val="000000"/>
          <w:sz w:val="24"/>
        </w:rPr>
        <w:t>年期间现场展出效果和参展商反馈的信息来看此管理规定的实施非常成功，并同时得到各合作单位的一致好评。但现场仍然有部分搭建公司有违规的情况出现，利用展商对相关管理规定了解不够欺骗展商的行为，现场违规作业等行为等，</w:t>
      </w:r>
      <w:r>
        <w:rPr>
          <w:rFonts w:hint="eastAsia" w:ascii="微软雅黑" w:hAnsi="微软雅黑" w:eastAsia="微软雅黑"/>
          <w:color w:val="000000"/>
          <w:sz w:val="24"/>
          <w:lang w:eastAsia="zh-CN"/>
        </w:rPr>
        <w:t>主办方</w:t>
      </w:r>
      <w:r>
        <w:rPr>
          <w:rFonts w:hint="eastAsia" w:ascii="微软雅黑" w:hAnsi="微软雅黑" w:eastAsia="微软雅黑"/>
          <w:color w:val="000000"/>
          <w:sz w:val="24"/>
        </w:rPr>
        <w:t>均对以上搭建公司作出了处罚并已经取消了这些搭建公司继续申请</w:t>
      </w:r>
      <w:r>
        <w:rPr>
          <w:rFonts w:hint="eastAsia" w:ascii="微软雅黑" w:hAnsi="微软雅黑" w:eastAsia="微软雅黑"/>
          <w:color w:val="000000"/>
          <w:sz w:val="24"/>
          <w:lang w:eastAsia="zh-CN"/>
        </w:rPr>
        <w:t>2026</w:t>
      </w:r>
      <w:r>
        <w:rPr>
          <w:rFonts w:hint="eastAsia" w:ascii="微软雅黑" w:hAnsi="微软雅黑" w:eastAsia="微软雅黑"/>
          <w:color w:val="000000"/>
          <w:sz w:val="24"/>
        </w:rPr>
        <w:t>年ChinaJoy展会大会指定特装搭建商申请资格，从而进一步规范此项管理，同时表明</w:t>
      </w:r>
      <w:r>
        <w:rPr>
          <w:rFonts w:hint="eastAsia" w:ascii="微软雅黑" w:hAnsi="微软雅黑" w:eastAsia="微软雅黑"/>
          <w:color w:val="000000"/>
          <w:sz w:val="24"/>
          <w:lang w:eastAsia="zh-CN"/>
        </w:rPr>
        <w:t>主办方</w:t>
      </w:r>
      <w:r>
        <w:rPr>
          <w:rFonts w:hint="eastAsia" w:ascii="微软雅黑" w:hAnsi="微软雅黑" w:eastAsia="微软雅黑"/>
          <w:color w:val="000000"/>
          <w:sz w:val="24"/>
        </w:rPr>
        <w:t>执行此项规定的决心。</w:t>
      </w:r>
      <w:r>
        <w:rPr>
          <w:rFonts w:hint="eastAsia" w:ascii="微软雅黑" w:hAnsi="微软雅黑" w:eastAsia="微软雅黑"/>
          <w:b/>
          <w:color w:val="000000"/>
          <w:sz w:val="24"/>
          <w:highlight w:val="yellow"/>
        </w:rPr>
        <w:t>在此我们再次郑重声明：大会指定搭建商务必遵守</w:t>
      </w:r>
      <w:r>
        <w:rPr>
          <w:rFonts w:hint="eastAsia" w:ascii="微软雅黑" w:hAnsi="微软雅黑" w:eastAsia="微软雅黑"/>
          <w:b/>
          <w:color w:val="000000"/>
          <w:sz w:val="24"/>
          <w:highlight w:val="yellow"/>
          <w:lang w:eastAsia="zh-CN"/>
        </w:rPr>
        <w:t>主办方</w:t>
      </w:r>
      <w:r>
        <w:rPr>
          <w:rFonts w:hint="eastAsia" w:ascii="微软雅黑" w:hAnsi="微软雅黑" w:eastAsia="微软雅黑"/>
          <w:b/>
          <w:color w:val="000000"/>
          <w:sz w:val="24"/>
          <w:highlight w:val="yellow"/>
        </w:rPr>
        <w:t>各项管理规定，非展会指定特装搭建商不得进馆搭建施工，</w:t>
      </w:r>
      <w:r>
        <w:rPr>
          <w:rFonts w:hint="eastAsia" w:ascii="微软雅黑" w:hAnsi="微软雅黑" w:eastAsia="微软雅黑"/>
          <w:b/>
          <w:color w:val="000000"/>
          <w:sz w:val="24"/>
          <w:highlight w:val="yellow"/>
          <w:lang w:eastAsia="zh-CN"/>
        </w:rPr>
        <w:t>2026</w:t>
      </w:r>
      <w:r>
        <w:rPr>
          <w:rFonts w:hint="eastAsia" w:ascii="微软雅黑" w:hAnsi="微软雅黑" w:eastAsia="微软雅黑"/>
          <w:b/>
          <w:color w:val="000000"/>
          <w:sz w:val="24"/>
          <w:highlight w:val="yellow"/>
        </w:rPr>
        <w:t>年展会将继续施行大会展台施工监理制度，监理公司将对本次展会所有特装展台从资质审核、图纸审查、预搭建检查、现场监督和撤展监督等各环节进行全面监理。</w:t>
      </w:r>
    </w:p>
    <w:p w14:paraId="62EC92AA">
      <w:pPr>
        <w:spacing w:line="360" w:lineRule="auto"/>
        <w:rPr>
          <w:rFonts w:ascii="微软雅黑" w:hAnsi="微软雅黑" w:eastAsia="微软雅黑" w:cs="Tahoma"/>
          <w:color w:val="000000"/>
          <w:sz w:val="24"/>
        </w:rPr>
      </w:pPr>
      <w:bookmarkStart w:id="3" w:name="_Toc119401465"/>
      <w:bookmarkStart w:id="4" w:name="_Toc119400775"/>
      <w:bookmarkStart w:id="5" w:name="_Toc119738209"/>
    </w:p>
    <w:p w14:paraId="7ACA1997">
      <w:pPr>
        <w:spacing w:line="360" w:lineRule="auto"/>
        <w:rPr>
          <w:rStyle w:val="15"/>
          <w:rFonts w:ascii="微软雅黑" w:hAnsi="微软雅黑" w:eastAsia="微软雅黑" w:cs="Tahoma"/>
          <w:sz w:val="24"/>
          <w:szCs w:val="24"/>
        </w:rPr>
      </w:pPr>
      <w:r>
        <w:rPr>
          <w:rStyle w:val="15"/>
          <w:rFonts w:hint="eastAsia" w:ascii="微软雅黑" w:hAnsi="微软雅黑" w:eastAsia="微软雅黑" w:cs="Tahoma"/>
          <w:sz w:val="24"/>
          <w:szCs w:val="24"/>
        </w:rPr>
        <w:t>四、招标程序、标准及投标文件：</w:t>
      </w:r>
    </w:p>
    <w:p w14:paraId="07EB847E">
      <w:pPr>
        <w:spacing w:line="360" w:lineRule="auto"/>
        <w:rPr>
          <w:rStyle w:val="15"/>
          <w:rFonts w:ascii="微软雅黑" w:hAnsi="微软雅黑" w:eastAsia="微软雅黑"/>
          <w:b w:val="0"/>
          <w:sz w:val="24"/>
          <w:szCs w:val="24"/>
        </w:rPr>
      </w:pPr>
      <w:r>
        <w:rPr>
          <w:rStyle w:val="15"/>
          <w:rFonts w:ascii="微软雅黑" w:hAnsi="微软雅黑" w:eastAsia="微软雅黑"/>
          <w:b w:val="0"/>
          <w:sz w:val="24"/>
          <w:szCs w:val="24"/>
        </w:rPr>
        <w:t>1、程序：</w:t>
      </w:r>
    </w:p>
    <w:p w14:paraId="7D08973C">
      <w:pPr>
        <w:spacing w:line="360" w:lineRule="auto"/>
        <w:ind w:firstLine="420"/>
        <w:rPr>
          <w:rStyle w:val="15"/>
          <w:rFonts w:ascii="微软雅黑" w:hAnsi="微软雅黑" w:eastAsia="微软雅黑"/>
          <w:b w:val="0"/>
          <w:sz w:val="24"/>
          <w:szCs w:val="24"/>
        </w:rPr>
      </w:pPr>
      <w:r>
        <w:rPr>
          <w:rStyle w:val="15"/>
          <w:rFonts w:ascii="微软雅黑" w:hAnsi="微软雅黑" w:eastAsia="微软雅黑"/>
          <w:b w:val="0"/>
          <w:sz w:val="24"/>
          <w:szCs w:val="24"/>
        </w:rPr>
        <w:t>整个过程将分招标、审核和开标（确认）三个阶段进行：</w:t>
      </w:r>
    </w:p>
    <w:p w14:paraId="315291C4">
      <w:pPr>
        <w:spacing w:line="360" w:lineRule="auto"/>
        <w:ind w:left="420"/>
        <w:rPr>
          <w:rStyle w:val="15"/>
          <w:rFonts w:ascii="微软雅黑" w:hAnsi="微软雅黑" w:eastAsia="微软雅黑"/>
          <w:b w:val="0"/>
          <w:sz w:val="24"/>
          <w:szCs w:val="24"/>
        </w:rPr>
      </w:pPr>
      <w:r>
        <w:rPr>
          <w:rStyle w:val="15"/>
          <w:rFonts w:hint="eastAsia" w:ascii="微软雅黑" w:hAnsi="微软雅黑" w:eastAsia="微软雅黑"/>
          <w:b w:val="0"/>
          <w:sz w:val="24"/>
          <w:szCs w:val="24"/>
        </w:rPr>
        <w:t>1.2、</w:t>
      </w:r>
      <w:r>
        <w:rPr>
          <w:rStyle w:val="15"/>
          <w:rFonts w:ascii="微软雅黑" w:hAnsi="微软雅黑" w:eastAsia="微软雅黑"/>
          <w:b w:val="0"/>
          <w:sz w:val="24"/>
          <w:szCs w:val="24"/>
        </w:rPr>
        <w:t>招标阶段：</w:t>
      </w:r>
      <w:r>
        <w:rPr>
          <w:rStyle w:val="15"/>
          <w:rFonts w:hint="eastAsia" w:ascii="微软雅黑" w:hAnsi="微软雅黑" w:eastAsia="微软雅黑"/>
          <w:b w:val="0"/>
          <w:sz w:val="24"/>
          <w:szCs w:val="24"/>
          <w:highlight w:val="yellow"/>
          <w:shd w:val="pct10" w:color="auto" w:fill="FFFFFF"/>
        </w:rPr>
        <w:t>202</w:t>
      </w:r>
      <w:r>
        <w:rPr>
          <w:rStyle w:val="15"/>
          <w:rFonts w:hint="eastAsia" w:ascii="微软雅黑" w:hAnsi="微软雅黑" w:eastAsia="微软雅黑"/>
          <w:b w:val="0"/>
          <w:sz w:val="24"/>
          <w:szCs w:val="24"/>
          <w:highlight w:val="yellow"/>
          <w:shd w:val="pct10" w:color="auto" w:fill="FFFFFF"/>
          <w:lang w:val="en-US"/>
        </w:rPr>
        <w:t>5</w:t>
      </w:r>
      <w:r>
        <w:rPr>
          <w:rStyle w:val="15"/>
          <w:rFonts w:ascii="微软雅黑" w:hAnsi="微软雅黑" w:eastAsia="微软雅黑"/>
          <w:b w:val="0"/>
          <w:sz w:val="24"/>
          <w:szCs w:val="24"/>
          <w:highlight w:val="yellow"/>
          <w:shd w:val="pct10" w:color="auto" w:fill="FFFFFF"/>
        </w:rPr>
        <w:t>年1</w:t>
      </w:r>
      <w:r>
        <w:rPr>
          <w:rStyle w:val="15"/>
          <w:rFonts w:hint="eastAsia" w:ascii="微软雅黑" w:hAnsi="微软雅黑" w:eastAsia="微软雅黑"/>
          <w:b w:val="0"/>
          <w:sz w:val="24"/>
          <w:szCs w:val="24"/>
          <w:highlight w:val="yellow"/>
          <w:shd w:val="pct10" w:color="auto" w:fill="FFFFFF"/>
          <w:lang w:val="en-US"/>
        </w:rPr>
        <w:t>1</w:t>
      </w:r>
      <w:r>
        <w:rPr>
          <w:rStyle w:val="15"/>
          <w:rFonts w:ascii="微软雅黑" w:hAnsi="微软雅黑" w:eastAsia="微软雅黑"/>
          <w:b w:val="0"/>
          <w:sz w:val="24"/>
          <w:szCs w:val="24"/>
          <w:highlight w:val="yellow"/>
          <w:shd w:val="pct10" w:color="auto" w:fill="FFFFFF"/>
        </w:rPr>
        <w:t>月</w:t>
      </w:r>
      <w:r>
        <w:rPr>
          <w:rStyle w:val="15"/>
          <w:rFonts w:hint="eastAsia" w:ascii="微软雅黑" w:hAnsi="微软雅黑" w:eastAsia="微软雅黑"/>
          <w:b w:val="0"/>
          <w:sz w:val="24"/>
          <w:szCs w:val="24"/>
          <w:highlight w:val="yellow"/>
          <w:shd w:val="pct10" w:color="auto" w:fill="FFFFFF"/>
          <w:lang w:val="en-US"/>
        </w:rPr>
        <w:t>20</w:t>
      </w:r>
      <w:r>
        <w:rPr>
          <w:rStyle w:val="15"/>
          <w:rFonts w:ascii="微软雅黑" w:hAnsi="微软雅黑" w:eastAsia="微软雅黑"/>
          <w:b w:val="0"/>
          <w:sz w:val="24"/>
          <w:szCs w:val="24"/>
          <w:highlight w:val="yellow"/>
          <w:shd w:val="pct10" w:color="auto" w:fill="FFFFFF"/>
        </w:rPr>
        <w:t>日-</w:t>
      </w:r>
      <w:r>
        <w:rPr>
          <w:rStyle w:val="15"/>
          <w:rFonts w:hint="eastAsia" w:ascii="微软雅黑" w:hAnsi="微软雅黑" w:eastAsia="微软雅黑"/>
          <w:b w:val="0"/>
          <w:sz w:val="24"/>
          <w:szCs w:val="24"/>
          <w:highlight w:val="yellow"/>
          <w:shd w:val="pct10" w:color="auto" w:fill="FFFFFF"/>
        </w:rPr>
        <w:t>202</w:t>
      </w:r>
      <w:r>
        <w:rPr>
          <w:rStyle w:val="15"/>
          <w:rFonts w:hint="eastAsia" w:ascii="微软雅黑" w:hAnsi="微软雅黑" w:eastAsia="微软雅黑"/>
          <w:b w:val="0"/>
          <w:sz w:val="24"/>
          <w:szCs w:val="24"/>
          <w:highlight w:val="yellow"/>
          <w:shd w:val="pct10" w:color="auto" w:fill="FFFFFF"/>
          <w:lang w:val="en-US"/>
        </w:rPr>
        <w:t>5</w:t>
      </w:r>
      <w:r>
        <w:rPr>
          <w:rStyle w:val="15"/>
          <w:rFonts w:ascii="微软雅黑" w:hAnsi="微软雅黑" w:eastAsia="微软雅黑"/>
          <w:b w:val="0"/>
          <w:sz w:val="24"/>
          <w:szCs w:val="24"/>
          <w:highlight w:val="yellow"/>
          <w:shd w:val="pct10" w:color="auto" w:fill="FFFFFF"/>
        </w:rPr>
        <w:t>年</w:t>
      </w:r>
      <w:r>
        <w:rPr>
          <w:rStyle w:val="15"/>
          <w:rFonts w:hint="eastAsia" w:ascii="微软雅黑" w:hAnsi="微软雅黑" w:eastAsia="微软雅黑"/>
          <w:b w:val="0"/>
          <w:sz w:val="24"/>
          <w:szCs w:val="24"/>
          <w:highlight w:val="yellow"/>
          <w:shd w:val="pct10" w:color="auto" w:fill="FFFFFF"/>
          <w:lang w:val="en-US"/>
        </w:rPr>
        <w:t>12</w:t>
      </w:r>
      <w:r>
        <w:rPr>
          <w:rStyle w:val="15"/>
          <w:rFonts w:ascii="微软雅黑" w:hAnsi="微软雅黑" w:eastAsia="微软雅黑"/>
          <w:b w:val="0"/>
          <w:sz w:val="24"/>
          <w:szCs w:val="24"/>
          <w:highlight w:val="yellow"/>
          <w:shd w:val="pct10" w:color="auto" w:fill="FFFFFF"/>
        </w:rPr>
        <w:t>月</w:t>
      </w:r>
      <w:r>
        <w:rPr>
          <w:rStyle w:val="15"/>
          <w:rFonts w:hint="eastAsia" w:ascii="微软雅黑" w:hAnsi="微软雅黑" w:eastAsia="微软雅黑"/>
          <w:b w:val="0"/>
          <w:sz w:val="24"/>
          <w:szCs w:val="24"/>
          <w:highlight w:val="yellow"/>
          <w:shd w:val="pct10" w:color="auto" w:fill="FFFFFF"/>
          <w:lang w:val="en-US"/>
        </w:rPr>
        <w:t>31</w:t>
      </w:r>
      <w:r>
        <w:rPr>
          <w:rStyle w:val="15"/>
          <w:rFonts w:ascii="微软雅黑" w:hAnsi="微软雅黑" w:eastAsia="微软雅黑"/>
          <w:b w:val="0"/>
          <w:sz w:val="24"/>
          <w:szCs w:val="24"/>
          <w:highlight w:val="yellow"/>
          <w:shd w:val="pct10" w:color="auto" w:fill="FFFFFF"/>
        </w:rPr>
        <w:t>日</w:t>
      </w:r>
    </w:p>
    <w:p w14:paraId="5A6759E3">
      <w:pPr>
        <w:numPr>
          <w:ilvl w:val="1"/>
          <w:numId w:val="1"/>
        </w:numPr>
        <w:spacing w:line="360" w:lineRule="auto"/>
        <w:rPr>
          <w:rStyle w:val="15"/>
          <w:rFonts w:ascii="微软雅黑" w:hAnsi="微软雅黑" w:eastAsia="微软雅黑"/>
          <w:b w:val="0"/>
          <w:sz w:val="24"/>
          <w:szCs w:val="24"/>
        </w:rPr>
      </w:pPr>
      <w:r>
        <w:rPr>
          <w:rStyle w:val="15"/>
          <w:rFonts w:hint="eastAsia" w:ascii="微软雅黑" w:hAnsi="微软雅黑" w:eastAsia="微软雅黑"/>
          <w:b w:val="0"/>
          <w:sz w:val="24"/>
          <w:szCs w:val="24"/>
        </w:rPr>
        <w:t>主办方</w:t>
      </w:r>
      <w:r>
        <w:rPr>
          <w:rStyle w:val="15"/>
          <w:rFonts w:ascii="微软雅黑" w:hAnsi="微软雅黑" w:eastAsia="微软雅黑"/>
          <w:b w:val="0"/>
          <w:sz w:val="24"/>
          <w:szCs w:val="24"/>
        </w:rPr>
        <w:t>将广泛征求各方意见和建议，联系搭建公司，发放招标文件</w:t>
      </w:r>
      <w:r>
        <w:rPr>
          <w:rStyle w:val="15"/>
          <w:rFonts w:hint="eastAsia" w:ascii="微软雅黑" w:hAnsi="微软雅黑" w:eastAsia="微软雅黑"/>
          <w:b w:val="0"/>
          <w:sz w:val="24"/>
          <w:szCs w:val="24"/>
        </w:rPr>
        <w:t>；</w:t>
      </w:r>
    </w:p>
    <w:p w14:paraId="01D26D8B">
      <w:pPr>
        <w:numPr>
          <w:ilvl w:val="1"/>
          <w:numId w:val="1"/>
        </w:numPr>
        <w:spacing w:line="360" w:lineRule="auto"/>
        <w:rPr>
          <w:rStyle w:val="15"/>
          <w:rFonts w:ascii="微软雅黑" w:hAnsi="微软雅黑" w:eastAsia="微软雅黑"/>
          <w:b w:val="0"/>
          <w:sz w:val="24"/>
          <w:szCs w:val="24"/>
        </w:rPr>
      </w:pPr>
      <w:r>
        <w:rPr>
          <w:rStyle w:val="15"/>
          <w:rFonts w:hint="eastAsia" w:ascii="微软雅黑" w:hAnsi="微软雅黑" w:eastAsia="微软雅黑"/>
          <w:b w:val="0"/>
          <w:sz w:val="24"/>
          <w:szCs w:val="24"/>
        </w:rPr>
        <w:t>各参与投标的公司务必于</w:t>
      </w:r>
      <w:r>
        <w:rPr>
          <w:rStyle w:val="15"/>
          <w:rFonts w:hint="eastAsia" w:ascii="微软雅黑" w:hAnsi="微软雅黑" w:eastAsia="微软雅黑"/>
          <w:sz w:val="24"/>
          <w:szCs w:val="24"/>
          <w:highlight w:val="yellow"/>
        </w:rPr>
        <w:t>202</w:t>
      </w:r>
      <w:r>
        <w:rPr>
          <w:rStyle w:val="15"/>
          <w:rFonts w:hint="eastAsia" w:ascii="微软雅黑" w:hAnsi="微软雅黑" w:eastAsia="微软雅黑"/>
          <w:sz w:val="24"/>
          <w:szCs w:val="24"/>
          <w:highlight w:val="yellow"/>
          <w:lang w:val="en-US"/>
        </w:rPr>
        <w:t>5</w:t>
      </w:r>
      <w:r>
        <w:rPr>
          <w:rStyle w:val="15"/>
          <w:rFonts w:hint="eastAsia" w:ascii="微软雅黑" w:hAnsi="微软雅黑" w:eastAsia="微软雅黑"/>
          <w:sz w:val="24"/>
          <w:szCs w:val="24"/>
          <w:highlight w:val="yellow"/>
        </w:rPr>
        <w:t>年</w:t>
      </w:r>
      <w:r>
        <w:rPr>
          <w:rStyle w:val="15"/>
          <w:rFonts w:hint="eastAsia" w:ascii="微软雅黑" w:hAnsi="微软雅黑" w:eastAsia="微软雅黑"/>
          <w:sz w:val="24"/>
          <w:szCs w:val="24"/>
          <w:highlight w:val="yellow"/>
          <w:lang w:val="en-US"/>
        </w:rPr>
        <w:t>12</w:t>
      </w:r>
      <w:r>
        <w:rPr>
          <w:rStyle w:val="15"/>
          <w:rFonts w:hint="eastAsia" w:ascii="微软雅黑" w:hAnsi="微软雅黑" w:eastAsia="微软雅黑"/>
          <w:sz w:val="24"/>
          <w:szCs w:val="24"/>
          <w:highlight w:val="yellow"/>
        </w:rPr>
        <w:t>月</w:t>
      </w:r>
      <w:r>
        <w:rPr>
          <w:rStyle w:val="15"/>
          <w:rFonts w:hint="eastAsia" w:ascii="微软雅黑" w:hAnsi="微软雅黑" w:eastAsia="微软雅黑"/>
          <w:sz w:val="24"/>
          <w:szCs w:val="24"/>
          <w:highlight w:val="yellow"/>
          <w:lang w:val="en-US"/>
        </w:rPr>
        <w:t>31</w:t>
      </w:r>
      <w:r>
        <w:rPr>
          <w:rStyle w:val="15"/>
          <w:rFonts w:hint="eastAsia" w:ascii="微软雅黑" w:hAnsi="微软雅黑" w:eastAsia="微软雅黑"/>
          <w:sz w:val="24"/>
          <w:szCs w:val="24"/>
          <w:highlight w:val="yellow"/>
        </w:rPr>
        <w:t>日前</w:t>
      </w:r>
      <w:r>
        <w:rPr>
          <w:rStyle w:val="15"/>
          <w:rFonts w:hint="eastAsia" w:ascii="微软雅黑" w:hAnsi="微软雅黑" w:eastAsia="微软雅黑"/>
          <w:b w:val="0"/>
          <w:sz w:val="24"/>
          <w:szCs w:val="24"/>
        </w:rPr>
        <w:t>将相关文件快递或送到上海汉威信恒展览有限公司，主办方对在截止日期后收到的材料将不予以考虑。</w:t>
      </w:r>
    </w:p>
    <w:p w14:paraId="0A2C0956">
      <w:pPr>
        <w:spacing w:line="360" w:lineRule="auto"/>
        <w:ind w:firstLine="420"/>
        <w:rPr>
          <w:rStyle w:val="15"/>
          <w:rFonts w:ascii="微软雅黑" w:hAnsi="微软雅黑" w:eastAsia="微软雅黑"/>
          <w:b w:val="0"/>
          <w:sz w:val="24"/>
          <w:szCs w:val="24"/>
        </w:rPr>
      </w:pPr>
      <w:r>
        <w:rPr>
          <w:rStyle w:val="15"/>
          <w:rFonts w:hint="eastAsia" w:ascii="微软雅黑" w:hAnsi="微软雅黑" w:eastAsia="微软雅黑"/>
          <w:b w:val="0"/>
          <w:sz w:val="24"/>
          <w:szCs w:val="24"/>
        </w:rPr>
        <w:t>1.3、</w:t>
      </w:r>
      <w:r>
        <w:rPr>
          <w:rStyle w:val="15"/>
          <w:rFonts w:ascii="微软雅黑" w:hAnsi="微软雅黑" w:eastAsia="微软雅黑"/>
          <w:b w:val="0"/>
          <w:sz w:val="24"/>
          <w:szCs w:val="24"/>
        </w:rPr>
        <w:t>审核阶段：</w:t>
      </w:r>
      <w:r>
        <w:rPr>
          <w:rStyle w:val="15"/>
          <w:rFonts w:hint="eastAsia" w:ascii="微软雅黑" w:hAnsi="微软雅黑" w:eastAsia="微软雅黑"/>
          <w:b w:val="0"/>
          <w:sz w:val="24"/>
          <w:szCs w:val="24"/>
          <w:highlight w:val="yellow"/>
        </w:rPr>
        <w:t>2026</w:t>
      </w:r>
      <w:r>
        <w:rPr>
          <w:rStyle w:val="15"/>
          <w:rFonts w:ascii="微软雅黑" w:hAnsi="微软雅黑" w:eastAsia="微软雅黑"/>
          <w:b w:val="0"/>
          <w:sz w:val="24"/>
          <w:szCs w:val="24"/>
          <w:highlight w:val="yellow"/>
        </w:rPr>
        <w:t>年</w:t>
      </w:r>
      <w:r>
        <w:rPr>
          <w:rStyle w:val="15"/>
          <w:rFonts w:hint="eastAsia" w:ascii="微软雅黑" w:hAnsi="微软雅黑" w:eastAsia="微软雅黑"/>
          <w:b w:val="0"/>
          <w:sz w:val="24"/>
          <w:szCs w:val="24"/>
          <w:highlight w:val="yellow"/>
        </w:rPr>
        <w:t>1</w:t>
      </w:r>
      <w:r>
        <w:rPr>
          <w:rStyle w:val="15"/>
          <w:rFonts w:ascii="微软雅黑" w:hAnsi="微软雅黑" w:eastAsia="微软雅黑"/>
          <w:b w:val="0"/>
          <w:sz w:val="24"/>
          <w:szCs w:val="24"/>
          <w:highlight w:val="yellow"/>
        </w:rPr>
        <w:t>月</w:t>
      </w:r>
      <w:r>
        <w:rPr>
          <w:rStyle w:val="15"/>
          <w:rFonts w:hint="eastAsia" w:ascii="微软雅黑" w:hAnsi="微软雅黑" w:eastAsia="微软雅黑"/>
          <w:b w:val="0"/>
          <w:sz w:val="24"/>
          <w:szCs w:val="24"/>
          <w:highlight w:val="yellow"/>
          <w:lang w:val="en-US"/>
        </w:rPr>
        <w:t>15</w:t>
      </w:r>
      <w:r>
        <w:rPr>
          <w:rStyle w:val="15"/>
          <w:rFonts w:ascii="微软雅黑" w:hAnsi="微软雅黑" w:eastAsia="微软雅黑"/>
          <w:b w:val="0"/>
          <w:sz w:val="24"/>
          <w:szCs w:val="24"/>
          <w:highlight w:val="yellow"/>
        </w:rPr>
        <w:t>日-</w:t>
      </w:r>
      <w:bookmarkEnd w:id="3"/>
      <w:bookmarkEnd w:id="4"/>
      <w:bookmarkEnd w:id="5"/>
      <w:r>
        <w:rPr>
          <w:rStyle w:val="15"/>
          <w:rFonts w:hint="eastAsia" w:ascii="微软雅黑" w:hAnsi="微软雅黑" w:eastAsia="微软雅黑"/>
          <w:b w:val="0"/>
          <w:sz w:val="24"/>
          <w:szCs w:val="24"/>
          <w:highlight w:val="yellow"/>
        </w:rPr>
        <w:t>2026</w:t>
      </w:r>
      <w:r>
        <w:rPr>
          <w:rStyle w:val="15"/>
          <w:rFonts w:ascii="微软雅黑" w:hAnsi="微软雅黑" w:eastAsia="微软雅黑"/>
          <w:b w:val="0"/>
          <w:sz w:val="24"/>
          <w:szCs w:val="24"/>
          <w:highlight w:val="yellow"/>
        </w:rPr>
        <w:t>年</w:t>
      </w:r>
      <w:r>
        <w:rPr>
          <w:rStyle w:val="15"/>
          <w:rFonts w:hint="eastAsia" w:ascii="微软雅黑" w:hAnsi="微软雅黑" w:eastAsia="微软雅黑"/>
          <w:b w:val="0"/>
          <w:sz w:val="24"/>
          <w:szCs w:val="24"/>
          <w:highlight w:val="yellow"/>
          <w:lang w:val="en-US"/>
        </w:rPr>
        <w:t>3</w:t>
      </w:r>
      <w:r>
        <w:rPr>
          <w:rStyle w:val="15"/>
          <w:rFonts w:ascii="微软雅黑" w:hAnsi="微软雅黑" w:eastAsia="微软雅黑"/>
          <w:b w:val="0"/>
          <w:sz w:val="24"/>
          <w:szCs w:val="24"/>
          <w:highlight w:val="yellow"/>
        </w:rPr>
        <w:t>月</w:t>
      </w:r>
      <w:r>
        <w:rPr>
          <w:rStyle w:val="15"/>
          <w:rFonts w:hint="eastAsia" w:ascii="微软雅黑" w:hAnsi="微软雅黑" w:eastAsia="微软雅黑"/>
          <w:b w:val="0"/>
          <w:sz w:val="24"/>
          <w:szCs w:val="24"/>
          <w:highlight w:val="yellow"/>
        </w:rPr>
        <w:t>5</w:t>
      </w:r>
      <w:r>
        <w:rPr>
          <w:rStyle w:val="15"/>
          <w:rFonts w:ascii="微软雅黑" w:hAnsi="微软雅黑" w:eastAsia="微软雅黑"/>
          <w:b w:val="0"/>
          <w:sz w:val="24"/>
          <w:szCs w:val="24"/>
          <w:highlight w:val="yellow"/>
        </w:rPr>
        <w:t>日</w:t>
      </w:r>
    </w:p>
    <w:p w14:paraId="39205C35">
      <w:pPr>
        <w:spacing w:line="360" w:lineRule="auto"/>
        <w:ind w:left="840"/>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a.  主办方</w:t>
      </w:r>
      <w:r>
        <w:rPr>
          <w:rStyle w:val="15"/>
          <w:rFonts w:ascii="微软雅黑" w:hAnsi="微软雅黑" w:eastAsia="微软雅黑"/>
          <w:b w:val="0"/>
          <w:color w:val="000000"/>
          <w:sz w:val="24"/>
          <w:szCs w:val="24"/>
        </w:rPr>
        <w:t>将认真审查各搭建公司提供的文件，审核搭建公司资质，确定符合标准的搭建公司</w:t>
      </w:r>
      <w:r>
        <w:rPr>
          <w:rStyle w:val="15"/>
          <w:rFonts w:hint="eastAsia" w:ascii="微软雅黑" w:hAnsi="微软雅黑" w:eastAsia="微软雅黑"/>
          <w:b w:val="0"/>
          <w:color w:val="000000"/>
          <w:sz w:val="24"/>
          <w:szCs w:val="24"/>
        </w:rPr>
        <w:t>；</w:t>
      </w:r>
    </w:p>
    <w:p w14:paraId="4F9C1521">
      <w:pPr>
        <w:numPr>
          <w:ilvl w:val="0"/>
          <w:numId w:val="2"/>
        </w:numPr>
        <w:spacing w:line="360" w:lineRule="auto"/>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在审核阶段，主办方认为需要时，可以书面通知投标单位要求其澄清投标文件中的有关问题，或者要求补充材料，对此，投标人不得拒绝。</w:t>
      </w:r>
    </w:p>
    <w:p w14:paraId="1D59C1EA">
      <w:pPr>
        <w:spacing w:line="360" w:lineRule="auto"/>
        <w:ind w:left="420"/>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1.4、</w:t>
      </w:r>
      <w:r>
        <w:rPr>
          <w:rStyle w:val="15"/>
          <w:rFonts w:ascii="微软雅黑" w:hAnsi="微软雅黑" w:eastAsia="微软雅黑"/>
          <w:b w:val="0"/>
          <w:color w:val="000000"/>
          <w:sz w:val="24"/>
          <w:szCs w:val="24"/>
        </w:rPr>
        <w:t>开标阶段：</w:t>
      </w:r>
      <w:r>
        <w:rPr>
          <w:rStyle w:val="15"/>
          <w:rFonts w:hint="eastAsia" w:ascii="微软雅黑" w:hAnsi="微软雅黑" w:eastAsia="微软雅黑"/>
          <w:b w:val="0"/>
          <w:color w:val="000000"/>
          <w:sz w:val="24"/>
          <w:szCs w:val="24"/>
          <w:shd w:val="clear" w:color="auto" w:fill="FFFF00"/>
        </w:rPr>
        <w:t>2026</w:t>
      </w:r>
      <w:r>
        <w:rPr>
          <w:rStyle w:val="15"/>
          <w:rFonts w:ascii="微软雅黑" w:hAnsi="微软雅黑" w:eastAsia="微软雅黑"/>
          <w:b w:val="0"/>
          <w:color w:val="000000"/>
          <w:sz w:val="24"/>
          <w:szCs w:val="24"/>
          <w:shd w:val="clear" w:color="auto" w:fill="FFFF00"/>
        </w:rPr>
        <w:t>年</w:t>
      </w:r>
      <w:r>
        <w:rPr>
          <w:rStyle w:val="15"/>
          <w:rFonts w:hint="eastAsia" w:ascii="微软雅黑" w:hAnsi="微软雅黑" w:eastAsia="微软雅黑"/>
          <w:b w:val="0"/>
          <w:color w:val="000000"/>
          <w:sz w:val="24"/>
          <w:szCs w:val="24"/>
          <w:shd w:val="clear" w:color="auto" w:fill="FFFF00"/>
        </w:rPr>
        <w:t>3</w:t>
      </w:r>
      <w:r>
        <w:rPr>
          <w:rStyle w:val="15"/>
          <w:rFonts w:ascii="微软雅黑" w:hAnsi="微软雅黑" w:eastAsia="微软雅黑"/>
          <w:b w:val="0"/>
          <w:color w:val="000000"/>
          <w:sz w:val="24"/>
          <w:szCs w:val="24"/>
          <w:shd w:val="clear" w:color="auto" w:fill="FFFF00"/>
        </w:rPr>
        <w:t>月-</w:t>
      </w:r>
      <w:r>
        <w:rPr>
          <w:rStyle w:val="15"/>
          <w:rFonts w:hint="eastAsia" w:ascii="微软雅黑" w:hAnsi="微软雅黑" w:eastAsia="微软雅黑"/>
          <w:b w:val="0"/>
          <w:color w:val="000000"/>
          <w:sz w:val="24"/>
          <w:szCs w:val="24"/>
          <w:shd w:val="clear" w:color="auto" w:fill="FFFF00"/>
        </w:rPr>
        <w:t>4月</w:t>
      </w:r>
    </w:p>
    <w:p w14:paraId="00E74640">
      <w:pPr>
        <w:spacing w:line="360" w:lineRule="auto"/>
        <w:ind w:left="1265" w:hanging="420"/>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a.  主办方将会分两至三批次在展览会官方网站</w:t>
      </w:r>
      <w:r>
        <w:rPr>
          <w:rStyle w:val="15"/>
          <w:rFonts w:ascii="微软雅黑" w:hAnsi="微软雅黑" w:eastAsia="微软雅黑"/>
          <w:b w:val="0"/>
          <w:color w:val="000000"/>
          <w:sz w:val="24"/>
          <w:szCs w:val="24"/>
        </w:rPr>
        <w:t>公布</w:t>
      </w:r>
      <w:r>
        <w:rPr>
          <w:rStyle w:val="15"/>
          <w:rFonts w:hint="eastAsia" w:ascii="微软雅黑" w:hAnsi="微软雅黑" w:eastAsia="微软雅黑"/>
          <w:b w:val="0"/>
          <w:color w:val="000000"/>
          <w:sz w:val="24"/>
          <w:szCs w:val="24"/>
        </w:rPr>
        <w:t>入围</w:t>
      </w:r>
      <w:r>
        <w:rPr>
          <w:rStyle w:val="15"/>
          <w:rFonts w:ascii="微软雅黑" w:hAnsi="微软雅黑" w:eastAsia="微软雅黑"/>
          <w:b w:val="0"/>
          <w:color w:val="000000"/>
          <w:sz w:val="24"/>
          <w:szCs w:val="24"/>
        </w:rPr>
        <w:t>第</w:t>
      </w:r>
      <w:r>
        <w:rPr>
          <w:rStyle w:val="15"/>
          <w:rFonts w:hint="eastAsia" w:ascii="微软雅黑" w:hAnsi="微软雅黑" w:eastAsia="微软雅黑"/>
          <w:b w:val="0"/>
          <w:color w:val="000000"/>
          <w:sz w:val="24"/>
          <w:szCs w:val="24"/>
        </w:rPr>
        <w:t>二十三</w:t>
      </w:r>
      <w:r>
        <w:rPr>
          <w:rStyle w:val="15"/>
          <w:rFonts w:ascii="微软雅黑" w:hAnsi="微软雅黑" w:eastAsia="微软雅黑"/>
          <w:b w:val="0"/>
          <w:color w:val="000000"/>
          <w:sz w:val="24"/>
          <w:szCs w:val="24"/>
        </w:rPr>
        <w:t>届中国国际数码互动娱乐展览会的</w:t>
      </w:r>
      <w:r>
        <w:rPr>
          <w:rStyle w:val="15"/>
          <w:rFonts w:hint="eastAsia" w:ascii="微软雅黑" w:hAnsi="微软雅黑" w:eastAsia="微软雅黑"/>
          <w:b w:val="0"/>
          <w:color w:val="000000"/>
          <w:sz w:val="24"/>
          <w:szCs w:val="24"/>
        </w:rPr>
        <w:t>指定</w:t>
      </w:r>
      <w:r>
        <w:rPr>
          <w:rStyle w:val="15"/>
          <w:rFonts w:ascii="微软雅黑" w:hAnsi="微软雅黑" w:eastAsia="微软雅黑"/>
          <w:b w:val="0"/>
          <w:color w:val="000000"/>
          <w:sz w:val="24"/>
          <w:szCs w:val="24"/>
        </w:rPr>
        <w:t>特装</w:t>
      </w:r>
      <w:r>
        <w:rPr>
          <w:rStyle w:val="15"/>
          <w:rFonts w:hint="eastAsia" w:ascii="微软雅黑" w:hAnsi="微软雅黑" w:eastAsia="微软雅黑"/>
          <w:b w:val="0"/>
          <w:color w:val="000000"/>
          <w:sz w:val="24"/>
          <w:szCs w:val="24"/>
        </w:rPr>
        <w:t>搭建</w:t>
      </w:r>
      <w:r>
        <w:rPr>
          <w:rStyle w:val="15"/>
          <w:rFonts w:ascii="微软雅黑" w:hAnsi="微软雅黑" w:eastAsia="微软雅黑"/>
          <w:b w:val="0"/>
          <w:color w:val="000000"/>
          <w:sz w:val="24"/>
          <w:szCs w:val="24"/>
        </w:rPr>
        <w:t>公司名单</w:t>
      </w:r>
      <w:r>
        <w:rPr>
          <w:rStyle w:val="15"/>
          <w:rFonts w:hint="eastAsia" w:ascii="微软雅黑" w:hAnsi="微软雅黑" w:eastAsia="微软雅黑"/>
          <w:b w:val="0"/>
          <w:color w:val="000000"/>
          <w:sz w:val="24"/>
          <w:szCs w:val="24"/>
        </w:rPr>
        <w:t>。</w:t>
      </w:r>
    </w:p>
    <w:p w14:paraId="43A29463">
      <w:pPr>
        <w:spacing w:line="360" w:lineRule="auto"/>
        <w:ind w:left="1320" w:leftChars="400" w:hanging="480" w:hangingChars="200"/>
        <w:rPr>
          <w:rFonts w:ascii="微软雅黑" w:hAnsi="微软雅黑" w:eastAsia="微软雅黑"/>
          <w:bCs/>
          <w:color w:val="000000"/>
          <w:sz w:val="24"/>
        </w:rPr>
      </w:pPr>
      <w:r>
        <w:rPr>
          <w:rStyle w:val="15"/>
          <w:rFonts w:hint="eastAsia" w:ascii="微软雅黑" w:hAnsi="微软雅黑" w:eastAsia="微软雅黑"/>
          <w:b w:val="0"/>
          <w:color w:val="000000"/>
          <w:sz w:val="24"/>
          <w:szCs w:val="24"/>
        </w:rPr>
        <w:t xml:space="preserve">b. </w:t>
      </w:r>
      <w:r>
        <w:rPr>
          <w:rStyle w:val="15"/>
          <w:rFonts w:hint="eastAsia" w:ascii="微软雅黑" w:hAnsi="微软雅黑" w:eastAsia="微软雅黑"/>
          <w:b w:val="0"/>
          <w:color w:val="000000"/>
          <w:sz w:val="24"/>
          <w:szCs w:val="24"/>
          <w:shd w:val="clear" w:color="auto" w:fill="FFFF00"/>
        </w:rPr>
        <w:t xml:space="preserve"> 公布名单后，</w:t>
      </w:r>
      <w:r>
        <w:rPr>
          <w:rStyle w:val="15"/>
          <w:rFonts w:hint="eastAsia" w:ascii="微软雅黑" w:hAnsi="微软雅黑" w:eastAsia="微软雅黑"/>
          <w:b w:val="0"/>
          <w:color w:val="000000"/>
          <w:sz w:val="24"/>
          <w:szCs w:val="24"/>
        </w:rPr>
        <w:t>主办方将向获得</w:t>
      </w:r>
      <w:r>
        <w:rPr>
          <w:rFonts w:hint="eastAsia" w:ascii="微软雅黑" w:hAnsi="微软雅黑" w:eastAsia="微软雅黑"/>
          <w:bCs/>
          <w:color w:val="000000"/>
          <w:sz w:val="24"/>
        </w:rPr>
        <w:t>第</w:t>
      </w:r>
      <w:r>
        <w:rPr>
          <w:rStyle w:val="15"/>
          <w:rFonts w:hint="eastAsia" w:ascii="微软雅黑" w:hAnsi="微软雅黑" w:eastAsia="微软雅黑"/>
          <w:b w:val="0"/>
          <w:color w:val="000000"/>
          <w:sz w:val="24"/>
          <w:szCs w:val="24"/>
        </w:rPr>
        <w:t>二十三</w:t>
      </w:r>
      <w:r>
        <w:rPr>
          <w:rFonts w:hint="eastAsia" w:ascii="微软雅黑" w:hAnsi="微软雅黑" w:eastAsia="微软雅黑"/>
          <w:bCs/>
          <w:color w:val="000000"/>
          <w:sz w:val="24"/>
        </w:rPr>
        <w:t>届中国国际数码互动娱乐展览会指定特装搭建商的公司发放中标通知书，投标人在收到中标通知书后，应立即以书面形式回馈</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w:t>
      </w:r>
    </w:p>
    <w:p w14:paraId="3747C751">
      <w:pPr>
        <w:spacing w:line="360" w:lineRule="auto"/>
        <w:ind w:left="1260" w:hanging="420"/>
        <w:rPr>
          <w:rStyle w:val="15"/>
          <w:rFonts w:ascii="微软雅黑" w:hAnsi="微软雅黑" w:eastAsia="微软雅黑"/>
          <w:b w:val="0"/>
          <w:color w:val="000000"/>
          <w:sz w:val="24"/>
          <w:szCs w:val="24"/>
        </w:rPr>
      </w:pPr>
      <w:r>
        <w:rPr>
          <w:rFonts w:hint="eastAsia" w:ascii="微软雅黑" w:hAnsi="微软雅黑" w:eastAsia="微软雅黑"/>
          <w:bCs/>
          <w:color w:val="000000"/>
          <w:sz w:val="24"/>
        </w:rPr>
        <w:t xml:space="preserve">c.  </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将</w:t>
      </w:r>
      <w:r>
        <w:rPr>
          <w:rFonts w:hint="eastAsia" w:ascii="微软雅黑" w:hAnsi="微软雅黑" w:eastAsia="微软雅黑"/>
          <w:bCs/>
          <w:color w:val="000000"/>
          <w:sz w:val="24"/>
          <w:shd w:val="clear" w:color="auto" w:fill="FFFF00"/>
        </w:rPr>
        <w:t>在4月中旬左右</w:t>
      </w:r>
      <w:r>
        <w:rPr>
          <w:rFonts w:hint="eastAsia" w:ascii="微软雅黑" w:hAnsi="微软雅黑" w:eastAsia="微软雅黑"/>
          <w:bCs/>
          <w:color w:val="000000"/>
          <w:sz w:val="24"/>
        </w:rPr>
        <w:t>与各中标公司签署相关协议，颁发第</w:t>
      </w:r>
      <w:r>
        <w:rPr>
          <w:rStyle w:val="15"/>
          <w:rFonts w:hint="eastAsia" w:ascii="微软雅黑" w:hAnsi="微软雅黑" w:eastAsia="微软雅黑"/>
          <w:b w:val="0"/>
          <w:color w:val="000000"/>
          <w:sz w:val="24"/>
          <w:szCs w:val="24"/>
        </w:rPr>
        <w:t>二十三</w:t>
      </w:r>
      <w:r>
        <w:rPr>
          <w:rFonts w:hint="eastAsia" w:ascii="微软雅黑" w:hAnsi="微软雅黑" w:eastAsia="微软雅黑"/>
          <w:bCs/>
          <w:color w:val="000000"/>
          <w:sz w:val="24"/>
        </w:rPr>
        <w:t>届中国国际数码互动娱乐展览会指定特装展位搭建授权证书，进而召开所有入围搭建商会议</w:t>
      </w:r>
      <w:r>
        <w:rPr>
          <w:rStyle w:val="15"/>
          <w:rFonts w:ascii="微软雅黑" w:hAnsi="微软雅黑" w:eastAsia="微软雅黑"/>
          <w:b w:val="0"/>
          <w:color w:val="000000"/>
          <w:sz w:val="24"/>
          <w:szCs w:val="24"/>
        </w:rPr>
        <w:t>。</w:t>
      </w:r>
    </w:p>
    <w:p w14:paraId="18CCA7EE">
      <w:pPr>
        <w:spacing w:line="360" w:lineRule="auto"/>
        <w:rPr>
          <w:rStyle w:val="15"/>
          <w:rFonts w:ascii="微软雅黑" w:hAnsi="微软雅黑" w:eastAsia="微软雅黑"/>
          <w:b w:val="0"/>
          <w:color w:val="000000"/>
          <w:sz w:val="24"/>
          <w:szCs w:val="24"/>
        </w:rPr>
      </w:pPr>
      <w:r>
        <w:rPr>
          <w:rStyle w:val="15"/>
          <w:rFonts w:ascii="微软雅黑" w:hAnsi="微软雅黑" w:eastAsia="微软雅黑"/>
          <w:b w:val="0"/>
          <w:color w:val="000000"/>
          <w:sz w:val="24"/>
          <w:szCs w:val="24"/>
        </w:rPr>
        <w:t>2、标准：</w:t>
      </w:r>
    </w:p>
    <w:p w14:paraId="051575D2">
      <w:pPr>
        <w:spacing w:line="360" w:lineRule="auto"/>
        <w:ind w:firstLine="420"/>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主办方将遵循公开、公平、公正和诚实信用的原则，根据以下标准审核搭建公司资质，并确定最终指定特装搭建公司。</w:t>
      </w:r>
    </w:p>
    <w:p w14:paraId="25AF8C3D">
      <w:pPr>
        <w:spacing w:line="360" w:lineRule="auto"/>
        <w:ind w:firstLine="420"/>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基本条件：</w:t>
      </w:r>
    </w:p>
    <w:p w14:paraId="3899F24C">
      <w:pPr>
        <w:numPr>
          <w:ilvl w:val="0"/>
          <w:numId w:val="3"/>
        </w:numPr>
        <w:spacing w:line="360" w:lineRule="auto"/>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该搭建公司未被中国国际数码互动娱乐展览会参展商向主办方投诉过；</w:t>
      </w:r>
    </w:p>
    <w:p w14:paraId="7AAC6FF0">
      <w:pPr>
        <w:numPr>
          <w:ilvl w:val="0"/>
          <w:numId w:val="3"/>
        </w:numPr>
        <w:spacing w:line="360" w:lineRule="auto"/>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该搭建公司未与上海新国际博览中心发生过纠纷并被禁止在该场馆进行搭建活动；</w:t>
      </w:r>
    </w:p>
    <w:p w14:paraId="2BA95F64">
      <w:pPr>
        <w:numPr>
          <w:ilvl w:val="0"/>
          <w:numId w:val="3"/>
        </w:numPr>
        <w:spacing w:line="360" w:lineRule="auto"/>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该搭建公司是注册的合法企业，</w:t>
      </w:r>
      <w:r>
        <w:rPr>
          <w:rStyle w:val="15"/>
          <w:rFonts w:hint="eastAsia" w:ascii="微软雅黑" w:hAnsi="微软雅黑" w:eastAsia="微软雅黑"/>
          <w:color w:val="000000"/>
          <w:sz w:val="24"/>
          <w:szCs w:val="24"/>
        </w:rPr>
        <w:t>且以营业执照为准注册资金在300万（含）人民币以上，该搭建公司成立时间超过六年</w:t>
      </w:r>
      <w:r>
        <w:rPr>
          <w:rStyle w:val="15"/>
          <w:rFonts w:hint="eastAsia" w:ascii="微软雅黑" w:hAnsi="微软雅黑" w:eastAsia="微软雅黑"/>
          <w:b w:val="0"/>
          <w:color w:val="000000"/>
          <w:sz w:val="24"/>
          <w:szCs w:val="24"/>
        </w:rPr>
        <w:t xml:space="preserve">； </w:t>
      </w:r>
    </w:p>
    <w:p w14:paraId="3DACE7CC">
      <w:pPr>
        <w:numPr>
          <w:ilvl w:val="0"/>
          <w:numId w:val="3"/>
        </w:numPr>
        <w:spacing w:line="360" w:lineRule="auto"/>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 xml:space="preserve">该搭建公司在历届中国国际数码互动娱乐展览会中没有违反任何展览会现场管理规定或展馆相关管理规定（首次申请指定特装搭建公司的除外）。 </w:t>
      </w:r>
    </w:p>
    <w:p w14:paraId="2E6FBCCF">
      <w:pPr>
        <w:numPr>
          <w:ilvl w:val="0"/>
          <w:numId w:val="3"/>
        </w:numPr>
        <w:spacing w:line="360" w:lineRule="auto"/>
        <w:rPr>
          <w:rStyle w:val="8"/>
          <w:rFonts w:ascii="微软雅黑" w:hAnsi="微软雅黑" w:eastAsia="微软雅黑"/>
          <w:color w:val="000000"/>
          <w:sz w:val="24"/>
        </w:rPr>
      </w:pPr>
      <w:r>
        <w:rPr>
          <w:rStyle w:val="8"/>
          <w:rFonts w:hint="eastAsia" w:ascii="微软雅黑" w:hAnsi="微软雅黑" w:eastAsia="微软雅黑" w:cs="微软雅黑"/>
          <w:sz w:val="24"/>
        </w:rPr>
        <w:t>投标公司自有工厂或者合作工厂面积不小于2</w:t>
      </w:r>
      <w:r>
        <w:rPr>
          <w:rStyle w:val="8"/>
          <w:rFonts w:ascii="微软雅黑" w:hAnsi="微软雅黑" w:eastAsia="微软雅黑" w:cs="微软雅黑"/>
          <w:sz w:val="24"/>
        </w:rPr>
        <w:t>000</w:t>
      </w:r>
      <w:r>
        <w:rPr>
          <w:rStyle w:val="8"/>
          <w:rFonts w:hint="eastAsia" w:ascii="微软雅黑" w:hAnsi="微软雅黑" w:eastAsia="微软雅黑" w:cs="微软雅黑"/>
          <w:sz w:val="24"/>
        </w:rPr>
        <w:t>平米。</w:t>
      </w:r>
    </w:p>
    <w:p w14:paraId="01511B94">
      <w:pPr>
        <w:spacing w:line="360" w:lineRule="auto"/>
        <w:ind w:left="420"/>
        <w:rPr>
          <w:rStyle w:val="15"/>
          <w:rFonts w:ascii="微软雅黑" w:hAnsi="微软雅黑" w:eastAsia="微软雅黑"/>
          <w:color w:val="000000"/>
          <w:sz w:val="24"/>
          <w:szCs w:val="24"/>
        </w:rPr>
      </w:pPr>
      <w:r>
        <w:rPr>
          <w:rStyle w:val="8"/>
          <w:rFonts w:hint="eastAsia" w:ascii="微软雅黑" w:hAnsi="微软雅黑" w:eastAsia="微软雅黑"/>
          <w:bCs/>
          <w:color w:val="000000"/>
          <w:sz w:val="24"/>
        </w:rPr>
        <w:t>优先选择条件：</w:t>
      </w:r>
      <w:r>
        <w:rPr>
          <w:rStyle w:val="15"/>
          <w:rFonts w:hint="eastAsia" w:ascii="微软雅黑" w:hAnsi="微软雅黑" w:eastAsia="微软雅黑"/>
          <w:b w:val="0"/>
          <w:color w:val="000000"/>
          <w:sz w:val="24"/>
          <w:szCs w:val="24"/>
        </w:rPr>
        <w:t xml:space="preserve">                  </w:t>
      </w:r>
    </w:p>
    <w:p w14:paraId="65B8792B">
      <w:pPr>
        <w:numPr>
          <w:ilvl w:val="0"/>
          <w:numId w:val="3"/>
        </w:numPr>
        <w:spacing w:line="360" w:lineRule="auto"/>
        <w:rPr>
          <w:rStyle w:val="15"/>
          <w:rFonts w:ascii="微软雅黑" w:hAnsi="微软雅黑" w:eastAsia="微软雅黑"/>
          <w:color w:val="000000"/>
          <w:sz w:val="24"/>
          <w:szCs w:val="24"/>
        </w:rPr>
      </w:pPr>
      <w:r>
        <w:rPr>
          <w:rStyle w:val="8"/>
          <w:rFonts w:hint="eastAsia" w:ascii="微软雅黑" w:hAnsi="微软雅黑" w:eastAsia="微软雅黑" w:cs="微软雅黑"/>
          <w:bCs/>
          <w:sz w:val="24"/>
        </w:rPr>
        <w:t>注册地为北京或者上海的搭建公司</w:t>
      </w:r>
      <w:r>
        <w:rPr>
          <w:rStyle w:val="15"/>
          <w:rFonts w:hint="eastAsia" w:ascii="微软雅黑" w:hAnsi="微软雅黑" w:eastAsia="微软雅黑"/>
          <w:color w:val="000000"/>
          <w:sz w:val="24"/>
          <w:szCs w:val="24"/>
        </w:rPr>
        <w:t>。</w:t>
      </w:r>
    </w:p>
    <w:p w14:paraId="37226E49">
      <w:pPr>
        <w:pStyle w:val="13"/>
        <w:numPr>
          <w:ilvl w:val="0"/>
          <w:numId w:val="3"/>
        </w:numPr>
        <w:spacing w:line="360" w:lineRule="auto"/>
        <w:ind w:firstLineChars="0"/>
        <w:rPr>
          <w:rStyle w:val="8"/>
          <w:rFonts w:ascii="微软雅黑" w:hAnsi="微软雅黑" w:eastAsia="微软雅黑" w:cs="微软雅黑"/>
          <w:bCs/>
          <w:sz w:val="24"/>
        </w:rPr>
      </w:pPr>
      <w:r>
        <w:rPr>
          <w:rStyle w:val="8"/>
          <w:rFonts w:hint="eastAsia" w:ascii="微软雅黑" w:hAnsi="微软雅黑" w:eastAsia="微软雅黑" w:cs="微软雅黑"/>
          <w:bCs/>
          <w:sz w:val="24"/>
        </w:rPr>
        <w:t>具有“中国展览馆协会展览工程企业资质证书”和“ISO质量管理体系认证证书”的投标公司；</w:t>
      </w:r>
    </w:p>
    <w:p w14:paraId="7605B695">
      <w:pPr>
        <w:pStyle w:val="13"/>
        <w:numPr>
          <w:ilvl w:val="0"/>
          <w:numId w:val="3"/>
        </w:numPr>
        <w:spacing w:line="360" w:lineRule="auto"/>
        <w:ind w:firstLineChars="0"/>
        <w:rPr>
          <w:rStyle w:val="15"/>
          <w:rFonts w:ascii="微软雅黑" w:hAnsi="微软雅黑" w:eastAsia="微软雅黑"/>
          <w:b w:val="0"/>
          <w:color w:val="000000"/>
          <w:sz w:val="24"/>
          <w:szCs w:val="24"/>
        </w:rPr>
      </w:pPr>
      <w:r>
        <w:rPr>
          <w:rStyle w:val="8"/>
          <w:rFonts w:hint="eastAsia" w:ascii="微软雅黑" w:hAnsi="微软雅黑" w:eastAsia="微软雅黑" w:cs="微软雅黑"/>
          <w:bCs/>
          <w:sz w:val="24"/>
        </w:rPr>
        <w:t>鉴于以往案例，近两年在上海新国际博览中心搭建项目均在1</w:t>
      </w:r>
      <w:r>
        <w:rPr>
          <w:rStyle w:val="8"/>
          <w:rFonts w:ascii="微软雅黑" w:hAnsi="微软雅黑" w:eastAsia="微软雅黑" w:cs="微软雅黑"/>
          <w:bCs/>
          <w:sz w:val="24"/>
        </w:rPr>
        <w:t>000</w:t>
      </w:r>
      <w:r>
        <w:rPr>
          <w:rStyle w:val="8"/>
          <w:rFonts w:hint="eastAsia" w:ascii="微软雅黑" w:hAnsi="微软雅黑" w:eastAsia="微软雅黑" w:cs="微软雅黑"/>
          <w:bCs/>
          <w:sz w:val="24"/>
        </w:rPr>
        <w:t>米以上的投标公司。</w:t>
      </w:r>
    </w:p>
    <w:p w14:paraId="537AFEF1">
      <w:pPr>
        <w:spacing w:line="360" w:lineRule="auto"/>
        <w:rPr>
          <w:rStyle w:val="15"/>
          <w:rFonts w:ascii="微软雅黑" w:hAnsi="微软雅黑" w:eastAsia="微软雅黑"/>
          <w:b w:val="0"/>
          <w:color w:val="000000"/>
          <w:sz w:val="24"/>
          <w:szCs w:val="24"/>
        </w:rPr>
      </w:pPr>
      <w:r>
        <w:rPr>
          <w:rStyle w:val="15"/>
          <w:rFonts w:hint="eastAsia" w:ascii="微软雅黑" w:hAnsi="微软雅黑" w:eastAsia="微软雅黑"/>
          <w:b w:val="0"/>
          <w:color w:val="000000"/>
          <w:sz w:val="24"/>
          <w:szCs w:val="24"/>
        </w:rPr>
        <w:t>3、投标文件：</w:t>
      </w:r>
    </w:p>
    <w:p w14:paraId="6F666F87">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有意愿参加指定特装投标的搭建公司应在截止日期前向</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提供以下文件：</w:t>
      </w:r>
    </w:p>
    <w:p w14:paraId="7D40509C">
      <w:pPr>
        <w:numPr>
          <w:ilvl w:val="0"/>
          <w:numId w:val="4"/>
        </w:num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公司介绍（应包括公司结构）、成立时间等内容；</w:t>
      </w:r>
    </w:p>
    <w:p w14:paraId="0A2B2BD5">
      <w:pPr>
        <w:numPr>
          <w:ilvl w:val="0"/>
          <w:numId w:val="4"/>
        </w:num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包括公司名称、地址、联系人及联系方式等内容（电话、传真、电邮地址及手机号码）；</w:t>
      </w:r>
    </w:p>
    <w:p w14:paraId="30B91233">
      <w:pPr>
        <w:numPr>
          <w:ilvl w:val="0"/>
          <w:numId w:val="4"/>
        </w:num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公司营业执照复印件，加盖公司公章；</w:t>
      </w:r>
    </w:p>
    <w:p w14:paraId="5FA3EB5D">
      <w:pPr>
        <w:numPr>
          <w:ilvl w:val="0"/>
          <w:numId w:val="4"/>
        </w:num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公司以往完成的项目名单和介绍，应包括所完成项目的展览会名称、时间、地点、展台规模等内容（需要有现场照片）；</w:t>
      </w:r>
    </w:p>
    <w:p w14:paraId="74EBA937">
      <w:pPr>
        <w:numPr>
          <w:ilvl w:val="0"/>
          <w:numId w:val="4"/>
        </w:num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保证书， 含有以下内容即可：“同意成为第</w:t>
      </w:r>
      <w:r>
        <w:rPr>
          <w:rFonts w:hint="eastAsia" w:ascii="微软雅黑" w:hAnsi="微软雅黑" w:eastAsia="微软雅黑"/>
          <w:bCs/>
          <w:color w:val="000000"/>
          <w:sz w:val="24"/>
          <w:lang w:eastAsia="zh-CN"/>
        </w:rPr>
        <w:t>二十三</w:t>
      </w:r>
      <w:r>
        <w:rPr>
          <w:rFonts w:hint="eastAsia" w:ascii="微软雅黑" w:hAnsi="微软雅黑" w:eastAsia="微软雅黑"/>
          <w:bCs/>
          <w:color w:val="000000"/>
          <w:sz w:val="24"/>
        </w:rPr>
        <w:t>届中国国际数码互动娱乐展览会指定特装搭建商后将遵守相关规定，配合展览会</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工作；同时应保证在展览会结束前，所有投标文件有效”；</w:t>
      </w:r>
    </w:p>
    <w:p w14:paraId="1DC8979D">
      <w:pPr>
        <w:numPr>
          <w:ilvl w:val="0"/>
          <w:numId w:val="4"/>
        </w:numPr>
        <w:spacing w:line="360" w:lineRule="auto"/>
        <w:rPr>
          <w:rFonts w:ascii="微软雅黑" w:hAnsi="微软雅黑" w:eastAsia="微软雅黑"/>
          <w:bCs/>
          <w:color w:val="000000"/>
          <w:sz w:val="24"/>
          <w:highlight w:val="yellow"/>
        </w:rPr>
      </w:pPr>
      <w:r>
        <w:rPr>
          <w:rFonts w:hint="eastAsia" w:ascii="微软雅黑" w:hAnsi="微软雅黑" w:eastAsia="微软雅黑"/>
          <w:bCs/>
          <w:color w:val="000000"/>
          <w:sz w:val="24"/>
          <w:highlight w:val="yellow"/>
        </w:rPr>
        <w:t>各投标公司制作工厂资质文件，文件应包括以下内容：</w:t>
      </w:r>
    </w:p>
    <w:p w14:paraId="2C7885BA">
      <w:pPr>
        <w:numPr>
          <w:ilvl w:val="0"/>
          <w:numId w:val="5"/>
        </w:numPr>
        <w:spacing w:line="360" w:lineRule="auto"/>
        <w:rPr>
          <w:rFonts w:ascii="微软雅黑" w:hAnsi="微软雅黑" w:eastAsia="微软雅黑"/>
          <w:bCs/>
          <w:color w:val="000000"/>
          <w:sz w:val="24"/>
          <w:highlight w:val="yellow"/>
        </w:rPr>
      </w:pPr>
      <w:r>
        <w:rPr>
          <w:rFonts w:hint="eastAsia" w:ascii="微软雅黑" w:hAnsi="微软雅黑" w:eastAsia="微软雅黑"/>
          <w:bCs/>
          <w:color w:val="000000"/>
          <w:sz w:val="24"/>
          <w:highlight w:val="yellow"/>
        </w:rPr>
        <w:t>投标公司和工厂的关系说明，指投标公司是自有工厂或者是合作关系的工厂，如投标公司与工厂有股份合作的也要说明。</w:t>
      </w:r>
    </w:p>
    <w:p w14:paraId="00510975">
      <w:pPr>
        <w:numPr>
          <w:ilvl w:val="0"/>
          <w:numId w:val="5"/>
        </w:numPr>
        <w:spacing w:line="360" w:lineRule="auto"/>
        <w:rPr>
          <w:rFonts w:ascii="微软雅黑" w:hAnsi="微软雅黑" w:eastAsia="微软雅黑"/>
          <w:bCs/>
          <w:color w:val="000000"/>
          <w:sz w:val="24"/>
          <w:highlight w:val="yellow"/>
        </w:rPr>
      </w:pPr>
      <w:r>
        <w:rPr>
          <w:rFonts w:hint="eastAsia" w:ascii="微软雅黑" w:hAnsi="微软雅黑" w:eastAsia="微软雅黑"/>
          <w:bCs/>
          <w:color w:val="000000"/>
          <w:sz w:val="24"/>
          <w:highlight w:val="yellow"/>
        </w:rPr>
        <w:t>所有工厂均需附上相关文件，包括工厂营业执照（加盖工厂章）、工厂地址、工厂案例（照片）、工厂规模（面积、施工人数等）介绍(需有工厂现场拍摄照片)等。</w:t>
      </w:r>
    </w:p>
    <w:p w14:paraId="3AB7DF33">
      <w:pPr>
        <w:spacing w:line="360" w:lineRule="auto"/>
        <w:ind w:left="780"/>
        <w:rPr>
          <w:rFonts w:ascii="微软雅黑" w:hAnsi="微软雅黑" w:eastAsia="微软雅黑"/>
          <w:bCs/>
          <w:color w:val="000000"/>
          <w:sz w:val="24"/>
        </w:rPr>
      </w:pP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将通过此项考核内容进一步了解申请搭建资质的公司的工作态度、服务质量、设计水平和价格体系，请各申请搭建资质的公司认真对待。</w:t>
      </w:r>
    </w:p>
    <w:p w14:paraId="12C716F3">
      <w:pPr>
        <w:numPr>
          <w:ilvl w:val="0"/>
          <w:numId w:val="4"/>
        </w:numPr>
        <w:spacing w:line="360" w:lineRule="auto"/>
        <w:rPr>
          <w:rFonts w:ascii="微软雅黑" w:hAnsi="微软雅黑" w:eastAsia="微软雅黑"/>
          <w:b/>
          <w:bCs/>
          <w:color w:val="000000"/>
          <w:sz w:val="24"/>
          <w:highlight w:val="yellow"/>
        </w:rPr>
      </w:pPr>
      <w:r>
        <w:rPr>
          <w:rFonts w:hint="eastAsia" w:ascii="微软雅黑" w:hAnsi="微软雅黑" w:eastAsia="微软雅黑"/>
          <w:b/>
          <w:bCs/>
          <w:color w:val="000000"/>
          <w:sz w:val="24"/>
          <w:highlight w:val="yellow"/>
          <w:u w:val="none"/>
        </w:rPr>
        <w:t>所有投标文件应打印装订成册（一份）并同时提交电子版(所有资料电子版整合一个文件，只接受PDF格式，文件大小不超过10M</w:t>
      </w:r>
      <w:r>
        <w:rPr>
          <w:rFonts w:hint="eastAsia" w:ascii="微软雅黑" w:hAnsi="微软雅黑" w:eastAsia="微软雅黑"/>
          <w:b/>
          <w:bCs/>
          <w:color w:val="000000"/>
          <w:sz w:val="24"/>
          <w:highlight w:val="yellow"/>
          <w:u w:val="none"/>
          <w:lang w:eastAsia="zh-CN"/>
        </w:rPr>
        <w:t>，</w:t>
      </w:r>
      <w:r>
        <w:rPr>
          <w:rFonts w:hint="eastAsia" w:ascii="微软雅黑" w:hAnsi="微软雅黑" w:eastAsia="微软雅黑"/>
          <w:b/>
          <w:bCs/>
          <w:color w:val="000000"/>
          <w:sz w:val="24"/>
          <w:highlight w:val="yellow"/>
          <w:u w:val="none"/>
          <w:lang w:val="en-US" w:eastAsia="zh-CN"/>
        </w:rPr>
        <w:t>tom_sun@howellexpo.net</w:t>
      </w:r>
      <w:r>
        <w:rPr>
          <w:rFonts w:hint="eastAsia" w:ascii="微软雅黑" w:hAnsi="微软雅黑" w:eastAsia="微软雅黑"/>
          <w:b/>
          <w:bCs/>
          <w:color w:val="000000"/>
          <w:sz w:val="24"/>
          <w:highlight w:val="yellow"/>
          <w:lang w:val="en-US" w:eastAsia="zh-CN"/>
        </w:rPr>
        <w:t xml:space="preserve"> </w:t>
      </w:r>
      <w:r>
        <w:rPr>
          <w:rFonts w:hint="eastAsia" w:ascii="微软雅黑" w:hAnsi="微软雅黑" w:eastAsia="微软雅黑"/>
          <w:b/>
          <w:bCs/>
          <w:color w:val="000000"/>
          <w:sz w:val="24"/>
          <w:highlight w:val="yellow"/>
        </w:rPr>
        <w:t>)</w:t>
      </w:r>
    </w:p>
    <w:p w14:paraId="762E22EA">
      <w:pPr>
        <w:spacing w:line="360" w:lineRule="auto"/>
        <w:ind w:left="420"/>
        <w:rPr>
          <w:rFonts w:ascii="微软雅黑" w:hAnsi="微软雅黑" w:eastAsia="微软雅黑"/>
          <w:b/>
          <w:bCs/>
          <w:color w:val="000000"/>
          <w:sz w:val="24"/>
          <w:shd w:val="clear" w:color="auto" w:fill="FFFF00"/>
        </w:rPr>
      </w:pPr>
      <w:r>
        <w:rPr>
          <w:rFonts w:hint="eastAsia" w:ascii="微软雅黑" w:hAnsi="微软雅黑" w:eastAsia="微软雅黑"/>
          <w:b/>
          <w:bCs/>
          <w:color w:val="000000"/>
          <w:sz w:val="24"/>
          <w:shd w:val="clear" w:color="auto" w:fill="FFFF00"/>
        </w:rPr>
        <w:t>所有投标公司必须保证向大会</w:t>
      </w:r>
      <w:r>
        <w:rPr>
          <w:rFonts w:hint="eastAsia" w:ascii="微软雅黑" w:hAnsi="微软雅黑" w:eastAsia="微软雅黑"/>
          <w:b/>
          <w:bCs/>
          <w:color w:val="000000"/>
          <w:sz w:val="24"/>
          <w:shd w:val="clear" w:color="auto" w:fill="FFFF00"/>
          <w:lang w:eastAsia="zh-CN"/>
        </w:rPr>
        <w:t>主办方</w:t>
      </w:r>
      <w:r>
        <w:rPr>
          <w:rFonts w:hint="eastAsia" w:ascii="微软雅黑" w:hAnsi="微软雅黑" w:eastAsia="微软雅黑"/>
          <w:b/>
          <w:bCs/>
          <w:color w:val="000000"/>
          <w:sz w:val="24"/>
          <w:shd w:val="clear" w:color="auto" w:fill="FFFF00"/>
        </w:rPr>
        <w:t>提交的所有投标材料的真实性和可靠性。</w:t>
      </w:r>
    </w:p>
    <w:p w14:paraId="7E9FF197">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五、权利与义务：</w:t>
      </w:r>
    </w:p>
    <w:p w14:paraId="46D41143">
      <w:pPr>
        <w:spacing w:line="360" w:lineRule="auto"/>
        <w:rPr>
          <w:rFonts w:ascii="微软雅黑" w:hAnsi="微软雅黑" w:eastAsia="微软雅黑"/>
          <w:bCs/>
          <w:color w:val="000000"/>
          <w:sz w:val="24"/>
        </w:rPr>
      </w:pPr>
      <w:r>
        <w:rPr>
          <w:rFonts w:ascii="微软雅黑" w:hAnsi="微软雅黑" w:eastAsia="微软雅黑"/>
          <w:bCs/>
          <w:color w:val="000000"/>
          <w:sz w:val="24"/>
        </w:rPr>
        <w:t>1、</w:t>
      </w:r>
      <w:r>
        <w:rPr>
          <w:rFonts w:hint="eastAsia" w:ascii="微软雅黑" w:hAnsi="微软雅黑" w:eastAsia="微软雅黑"/>
          <w:bCs/>
          <w:color w:val="000000"/>
          <w:sz w:val="24"/>
        </w:rPr>
        <w:t>权利：</w:t>
      </w:r>
    </w:p>
    <w:p w14:paraId="57C4892A">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A. 该搭建公司将获得第</w:t>
      </w:r>
      <w:r>
        <w:rPr>
          <w:rFonts w:hint="eastAsia" w:ascii="微软雅黑" w:hAnsi="微软雅黑" w:eastAsia="微软雅黑"/>
          <w:bCs/>
          <w:color w:val="000000"/>
          <w:sz w:val="24"/>
          <w:lang w:eastAsia="zh-CN"/>
        </w:rPr>
        <w:t>二十三</w:t>
      </w:r>
      <w:r>
        <w:rPr>
          <w:rFonts w:hint="eastAsia" w:ascii="微软雅黑" w:hAnsi="微软雅黑" w:eastAsia="微软雅黑"/>
          <w:bCs/>
          <w:color w:val="000000"/>
          <w:sz w:val="24"/>
        </w:rPr>
        <w:t>届中国国际数码互动娱乐展览会指定特装搭建商授权书；</w:t>
      </w:r>
    </w:p>
    <w:p w14:paraId="78CE4DEF">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B. 作为第</w:t>
      </w:r>
      <w:r>
        <w:rPr>
          <w:rFonts w:hint="eastAsia" w:ascii="微软雅黑" w:hAnsi="微软雅黑" w:eastAsia="微软雅黑"/>
          <w:bCs/>
          <w:color w:val="000000"/>
          <w:sz w:val="24"/>
          <w:lang w:eastAsia="zh-CN"/>
        </w:rPr>
        <w:t>二十三</w:t>
      </w:r>
      <w:r>
        <w:rPr>
          <w:rFonts w:hint="eastAsia" w:ascii="微软雅黑" w:hAnsi="微软雅黑" w:eastAsia="微软雅黑"/>
          <w:bCs/>
          <w:color w:val="000000"/>
          <w:sz w:val="24"/>
        </w:rPr>
        <w:t>届中国国际数码互动娱乐展览会的指定特装搭建商，将享有搭建该展览会特装展台的权利；</w:t>
      </w:r>
    </w:p>
    <w:p w14:paraId="4CFF01FA">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C. 展览会</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将在参展指南及展览会官方网站介绍该搭建公司，供各个参展公司选用；</w:t>
      </w:r>
    </w:p>
    <w:p w14:paraId="26FA76DC">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 xml:space="preserve">D. </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将定期向该搭建公司提供展览会信息，便于搭建公司工作的顺利进行；</w:t>
      </w:r>
    </w:p>
    <w:p w14:paraId="058FC249">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 xml:space="preserve">    </w:t>
      </w:r>
    </w:p>
    <w:p w14:paraId="03C06729">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2、义务：</w:t>
      </w:r>
    </w:p>
    <w:p w14:paraId="3291701A">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A. 所有中标搭建公司应提供充足的人力、物力资源，确保该公司承接的特装展位保质保量及按承接合同</w:t>
      </w:r>
    </w:p>
    <w:p w14:paraId="5E42BD9E">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 xml:space="preserve">   所规定期限完成搭建、展览和撤展工作；</w:t>
      </w:r>
    </w:p>
    <w:p w14:paraId="47406F95">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B. 该搭建公司应确保遵守消防、公安等国家相关规定及展览会</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、展览馆的相关规定；</w:t>
      </w:r>
    </w:p>
    <w:p w14:paraId="2A3D0299">
      <w:pPr>
        <w:spacing w:line="360" w:lineRule="auto"/>
        <w:ind w:left="780" w:leftChars="200" w:hanging="360" w:hangingChars="150"/>
        <w:rPr>
          <w:rFonts w:ascii="微软雅黑" w:hAnsi="微软雅黑" w:eastAsia="微软雅黑"/>
          <w:bCs/>
          <w:color w:val="000000"/>
          <w:sz w:val="24"/>
        </w:rPr>
      </w:pPr>
      <w:r>
        <w:rPr>
          <w:rFonts w:hint="eastAsia" w:ascii="微软雅黑" w:hAnsi="微软雅黑" w:eastAsia="微软雅黑"/>
          <w:bCs/>
          <w:color w:val="000000"/>
          <w:sz w:val="24"/>
        </w:rPr>
        <w:t>C. 该搭建公司应按照主办单位在《参展指南》中规定的时间向主办单位和大会监理公司按时提交展台效果图包括（平面图、俯视图、侧视图）和电路图；</w:t>
      </w:r>
    </w:p>
    <w:p w14:paraId="138C120A">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D. 该搭建公司应提供1-2名专门项目人员（不应是该公司负责承接的搭建展位的项目人员）与</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及</w:t>
      </w:r>
    </w:p>
    <w:p w14:paraId="7A3B39F1">
      <w:pPr>
        <w:spacing w:line="360" w:lineRule="auto"/>
        <w:ind w:firstLine="840" w:firstLineChars="350"/>
        <w:rPr>
          <w:rFonts w:ascii="微软雅黑" w:hAnsi="微软雅黑" w:eastAsia="微软雅黑"/>
          <w:bCs/>
          <w:color w:val="000000"/>
          <w:sz w:val="24"/>
        </w:rPr>
      </w:pPr>
      <w:r>
        <w:rPr>
          <w:rFonts w:hint="eastAsia" w:ascii="微软雅黑" w:hAnsi="微软雅黑" w:eastAsia="微软雅黑"/>
          <w:bCs/>
          <w:color w:val="000000"/>
          <w:sz w:val="24"/>
        </w:rPr>
        <w:t>主场搭建商保持联络，并在展览会现场配合</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的各项工作；</w:t>
      </w:r>
    </w:p>
    <w:p w14:paraId="39629B65">
      <w:pPr>
        <w:spacing w:line="360" w:lineRule="auto"/>
        <w:ind w:firstLine="420"/>
        <w:rPr>
          <w:rFonts w:ascii="微软雅黑" w:hAnsi="微软雅黑" w:eastAsia="微软雅黑"/>
          <w:bCs/>
          <w:color w:val="000000"/>
          <w:sz w:val="24"/>
        </w:rPr>
      </w:pPr>
      <w:r>
        <w:rPr>
          <w:rFonts w:hint="eastAsia" w:ascii="微软雅黑" w:hAnsi="微软雅黑" w:eastAsia="微软雅黑"/>
          <w:bCs/>
          <w:color w:val="000000"/>
          <w:sz w:val="24"/>
        </w:rPr>
        <w:t>E. 该搭建公司应在确认承接搭建展位后，积极配合参展公司人员工作，并提醒、督促参展公司人员按时</w:t>
      </w:r>
    </w:p>
    <w:p w14:paraId="02511A8D">
      <w:pPr>
        <w:spacing w:line="360" w:lineRule="auto"/>
        <w:ind w:firstLine="840" w:firstLineChars="350"/>
        <w:rPr>
          <w:rFonts w:ascii="微软雅黑" w:hAnsi="微软雅黑" w:eastAsia="微软雅黑"/>
          <w:bCs/>
          <w:color w:val="000000"/>
          <w:sz w:val="24"/>
        </w:rPr>
      </w:pPr>
      <w:r>
        <w:rPr>
          <w:rFonts w:hint="eastAsia" w:ascii="微软雅黑" w:hAnsi="微软雅黑" w:eastAsia="微软雅黑"/>
          <w:bCs/>
          <w:color w:val="000000"/>
          <w:sz w:val="24"/>
        </w:rPr>
        <w:t>提供展览会相关文件，执行各项大会现场管理规定；</w:t>
      </w:r>
    </w:p>
    <w:p w14:paraId="26771E54">
      <w:pPr>
        <w:spacing w:line="360" w:lineRule="auto"/>
        <w:ind w:left="780" w:leftChars="200" w:hanging="360" w:hangingChars="150"/>
        <w:rPr>
          <w:rFonts w:ascii="微软雅黑" w:hAnsi="微软雅黑" w:eastAsia="微软雅黑"/>
          <w:bCs/>
          <w:color w:val="000000"/>
          <w:sz w:val="24"/>
        </w:rPr>
      </w:pPr>
      <w:r>
        <w:rPr>
          <w:rFonts w:hint="eastAsia" w:ascii="微软雅黑" w:hAnsi="微软雅黑" w:eastAsia="微软雅黑"/>
          <w:bCs/>
          <w:color w:val="000000"/>
          <w:sz w:val="24"/>
        </w:rPr>
        <w:t>F.  搭建公司中标成为第</w:t>
      </w:r>
      <w:r>
        <w:rPr>
          <w:rFonts w:hint="eastAsia" w:ascii="微软雅黑" w:hAnsi="微软雅黑" w:eastAsia="微软雅黑"/>
          <w:bCs/>
          <w:color w:val="000000"/>
          <w:sz w:val="24"/>
          <w:lang w:eastAsia="zh-CN"/>
        </w:rPr>
        <w:t>二十三</w:t>
      </w:r>
      <w:r>
        <w:rPr>
          <w:rFonts w:hint="eastAsia" w:ascii="微软雅黑" w:hAnsi="微软雅黑" w:eastAsia="微软雅黑"/>
          <w:bCs/>
          <w:color w:val="000000"/>
          <w:sz w:val="24"/>
        </w:rPr>
        <w:t>届中国国际数码互动娱乐展览会指定特装搭建商后，获得搭建工程的指定特装搭建公司，除向展馆方交纳其规定的场地管理费外，还需另行向</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缴纳50元/平米的管理费，</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收取的管理费计算方法是将该搭建公司承接搭建展位总面积的平米数乘以50元/平米得出。</w:t>
      </w:r>
    </w:p>
    <w:p w14:paraId="70923315">
      <w:pPr>
        <w:spacing w:line="360" w:lineRule="auto"/>
        <w:ind w:firstLine="480" w:firstLineChars="200"/>
        <w:rPr>
          <w:rFonts w:hint="eastAsia" w:ascii="微软雅黑" w:hAnsi="微软雅黑" w:eastAsia="微软雅黑"/>
          <w:bCs/>
          <w:color w:val="000000"/>
          <w:sz w:val="24"/>
        </w:rPr>
      </w:pPr>
      <w:r>
        <w:rPr>
          <w:rFonts w:hint="eastAsia" w:ascii="微软雅黑" w:hAnsi="微软雅黑" w:eastAsia="微软雅黑"/>
          <w:bCs/>
          <w:color w:val="000000"/>
          <w:sz w:val="24"/>
        </w:rPr>
        <w:t>G. 展前，各搭建公司搭建的展台数量确认后，除向展览场地、主场搭建缴纳相关费用外，还应向</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缴纳施工押金。如展览期间，该展览公司未出现展位搭建质量问题、没有违反展览场地和</w:t>
      </w:r>
      <w:r>
        <w:rPr>
          <w:rFonts w:hint="eastAsia" w:ascii="微软雅黑" w:hAnsi="微软雅黑" w:eastAsia="微软雅黑"/>
          <w:bCs/>
          <w:color w:val="000000"/>
          <w:sz w:val="24"/>
          <w:lang w:eastAsia="zh-CN"/>
        </w:rPr>
        <w:t>主办方</w:t>
      </w:r>
      <w:r>
        <w:rPr>
          <w:rFonts w:hint="eastAsia" w:ascii="微软雅黑" w:hAnsi="微软雅黑" w:eastAsia="微软雅黑"/>
          <w:bCs/>
          <w:color w:val="000000"/>
          <w:sz w:val="24"/>
        </w:rPr>
        <w:t>相关规定的事情发生，该保证金将在展览会结束后60日内退还各搭建公司，如果出现上述问题，将视情况按一定比例扣除部分或全部保证金。</w:t>
      </w:r>
    </w:p>
    <w:p w14:paraId="76D15CB9">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3、搭建资质有效期</w:t>
      </w:r>
    </w:p>
    <w:p w14:paraId="04E0BE07">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ab/>
      </w:r>
      <w:r>
        <w:rPr>
          <w:rFonts w:hint="eastAsia" w:ascii="微软雅黑" w:hAnsi="微软雅黑" w:eastAsia="微软雅黑"/>
          <w:bCs/>
          <w:color w:val="000000"/>
          <w:sz w:val="24"/>
        </w:rPr>
        <w:t>大会主办单位指定的特装展位搭建商的资质需每年审定，凡违反展览会现场管理规定或展馆相关管理规定的搭建商除扣除所交保证金外将被取消第二年申请大会指定搭建商的资格。违规情节严重者将被永久性取消中国国际数码互动娱乐展览会的特装搭建资格。</w:t>
      </w:r>
    </w:p>
    <w:p w14:paraId="4F2B8E5B">
      <w:pPr>
        <w:spacing w:line="360" w:lineRule="auto"/>
        <w:rPr>
          <w:rFonts w:ascii="微软雅黑" w:hAnsi="微软雅黑" w:eastAsia="微软雅黑"/>
          <w:bCs/>
          <w:color w:val="000000"/>
          <w:sz w:val="24"/>
        </w:rPr>
      </w:pPr>
    </w:p>
    <w:p w14:paraId="22B82B06">
      <w:pPr>
        <w:spacing w:line="360" w:lineRule="auto"/>
        <w:rPr>
          <w:rFonts w:ascii="微软雅黑" w:hAnsi="微软雅黑" w:eastAsia="微软雅黑"/>
          <w:bCs/>
          <w:color w:val="000000"/>
          <w:sz w:val="24"/>
        </w:rPr>
      </w:pPr>
    </w:p>
    <w:p w14:paraId="785C8D63">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招标联系人/联系方式：</w:t>
      </w:r>
    </w:p>
    <w:p w14:paraId="6D26AC6B">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孙 先生</w:t>
      </w:r>
    </w:p>
    <w:p w14:paraId="49D7C3CC">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电话：010-87538660-8601</w:t>
      </w:r>
    </w:p>
    <w:p w14:paraId="00CB4097">
      <w:pPr>
        <w:spacing w:line="360" w:lineRule="auto"/>
        <w:rPr>
          <w:rFonts w:ascii="微软雅黑" w:hAnsi="微软雅黑" w:eastAsia="微软雅黑"/>
          <w:bCs/>
          <w:color w:val="000000"/>
          <w:sz w:val="24"/>
        </w:rPr>
      </w:pPr>
      <w:r>
        <w:rPr>
          <w:rFonts w:hint="eastAsia" w:ascii="微软雅黑" w:hAnsi="微软雅黑" w:eastAsia="微软雅黑"/>
          <w:bCs/>
          <w:color w:val="000000"/>
          <w:sz w:val="24"/>
        </w:rPr>
        <w:t>手机/微信：13718918728</w:t>
      </w:r>
    </w:p>
    <w:p w14:paraId="52233815">
      <w:pPr>
        <w:spacing w:line="360" w:lineRule="auto"/>
        <w:rPr>
          <w:rFonts w:ascii="微软雅黑" w:hAnsi="微软雅黑" w:eastAsia="微软雅黑"/>
          <w:bCs/>
          <w:color w:val="FF0000"/>
          <w:sz w:val="24"/>
        </w:rPr>
      </w:pPr>
      <w:r>
        <w:rPr>
          <w:rFonts w:hint="eastAsia" w:ascii="微软雅黑" w:hAnsi="微软雅黑" w:eastAsia="微软雅黑"/>
          <w:bCs/>
          <w:color w:val="FF0000"/>
          <w:sz w:val="24"/>
          <w:lang w:val="en-US" w:eastAsia="zh-CN"/>
        </w:rPr>
        <w:t>电子版标书发送至</w:t>
      </w:r>
      <w:r>
        <w:rPr>
          <w:rFonts w:hint="eastAsia" w:ascii="微软雅黑" w:hAnsi="微软雅黑" w:eastAsia="微软雅黑"/>
          <w:bCs/>
          <w:color w:val="FF0000"/>
          <w:sz w:val="24"/>
        </w:rPr>
        <w:t>E-mail： tom_sun@howellexpo.net</w:t>
      </w:r>
    </w:p>
    <w:p w14:paraId="7FCF3993">
      <w:pPr>
        <w:spacing w:line="360" w:lineRule="auto"/>
      </w:pPr>
      <w:r>
        <w:rPr>
          <w:rFonts w:hint="eastAsia" w:ascii="微软雅黑" w:hAnsi="微软雅黑" w:eastAsia="微软雅黑"/>
          <w:bCs/>
          <w:color w:val="FF0000"/>
          <w:sz w:val="24"/>
          <w:lang w:val="en-US" w:eastAsia="zh-CN"/>
        </w:rPr>
        <w:t>纸质标书</w:t>
      </w:r>
      <w:r>
        <w:rPr>
          <w:rFonts w:hint="eastAsia" w:ascii="微软雅黑" w:hAnsi="微软雅黑" w:eastAsia="微软雅黑"/>
          <w:bCs/>
          <w:color w:val="FF0000"/>
          <w:sz w:val="24"/>
        </w:rPr>
        <w:t>邮寄地址：北京市朝阳区大羊坊路85号新华国际广场A座1201室</w:t>
      </w:r>
    </w:p>
    <w:sectPr>
      <w:headerReference r:id="rId3" w:type="default"/>
      <w:footerReference r:id="rId5" w:type="default"/>
      <w:headerReference r:id="rId4" w:type="even"/>
      <w:pgSz w:w="11906" w:h="16838"/>
      <w:pgMar w:top="2268" w:right="1797" w:bottom="1440" w:left="1797"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思源黑体 CN Regular">
    <w:altName w:val="微软雅黑"/>
    <w:panose1 w:val="00000000000000000000"/>
    <w:charset w:val="86"/>
    <w:family w:val="swiss"/>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CDA27">
    <w:pPr>
      <w:pStyle w:val="3"/>
      <w:jc w:val="center"/>
      <w:rPr>
        <w:rFonts w:ascii="思源黑体 CN Regular" w:hAnsi="思源黑体 CN Regular" w:eastAsia="思源黑体 CN Regular"/>
        <w:color w:val="808080" w:themeColor="background1" w:themeShade="80"/>
        <w:sz w:val="14"/>
        <w:szCs w:val="14"/>
      </w:rPr>
    </w:pPr>
    <w:r>
      <w:rPr>
        <w:rFonts w:hint="eastAsia" w:ascii="思源黑体 CN Regular" w:hAnsi="思源黑体 CN Regular" w:eastAsia="思源黑体 CN Regular"/>
        <w:color w:val="808080" w:themeColor="background1" w:themeShade="80"/>
        <w:sz w:val="14"/>
        <w:szCs w:val="14"/>
      </w:rPr>
      <w:t>上海汉威信恒文化发展有限公司</w:t>
    </w:r>
  </w:p>
  <w:p w14:paraId="400437CA">
    <w:pPr>
      <w:pStyle w:val="3"/>
      <w:jc w:val="center"/>
      <w:rPr>
        <w:rFonts w:ascii="思源黑体 CN Regular" w:hAnsi="思源黑体 CN Regular" w:eastAsia="思源黑体 CN Regular"/>
        <w:color w:val="808080" w:themeColor="background1" w:themeShade="80"/>
        <w:sz w:val="14"/>
        <w:szCs w:val="14"/>
      </w:rPr>
    </w:pPr>
    <w:r>
      <w:rPr>
        <w:rFonts w:hint="eastAsia" w:ascii="思源黑体 CN Regular" w:hAnsi="思源黑体 CN Regular" w:eastAsia="思源黑体 CN Regular"/>
        <w:color w:val="808080" w:themeColor="background1" w:themeShade="80"/>
        <w:sz w:val="14"/>
        <w:szCs w:val="14"/>
      </w:rPr>
      <w:t>地址：北京市朝阳区十里河大羊坊路89号新华国际广场A座1201室 / 电话：010-</w:t>
    </w:r>
    <w:r>
      <w:rPr>
        <w:rFonts w:ascii="思源黑体 CN Regular" w:hAnsi="思源黑体 CN Regular" w:eastAsia="思源黑体 CN Regular"/>
        <w:color w:val="808080" w:themeColor="background1" w:themeShade="80"/>
        <w:sz w:val="14"/>
        <w:szCs w:val="14"/>
      </w:rPr>
      <w:t>8</w:t>
    </w:r>
    <w:r>
      <w:rPr>
        <w:rFonts w:hint="eastAsia" w:ascii="思源黑体 CN Regular" w:hAnsi="思源黑体 CN Regular" w:eastAsia="思源黑体 CN Regular"/>
        <w:color w:val="808080" w:themeColor="background1" w:themeShade="80"/>
        <w:sz w:val="14"/>
        <w:szCs w:val="14"/>
      </w:rPr>
      <w:t>7538660（总机）</w:t>
    </w:r>
  </w:p>
  <w:p w14:paraId="5899DCAA">
    <w:pPr>
      <w:pStyle w:val="3"/>
      <w:jc w:val="center"/>
      <w:rPr>
        <w:rFonts w:ascii="思源黑体 CN Regular" w:hAnsi="思源黑体 CN Regular" w:eastAsia="思源黑体 CN Regular"/>
        <w:color w:val="808080" w:themeColor="background1" w:themeShade="80"/>
        <w:sz w:val="14"/>
        <w:szCs w:val="14"/>
      </w:rPr>
    </w:pPr>
    <w:r>
      <w:rPr>
        <w:rFonts w:hint="eastAsia" w:ascii="思源黑体 CN Regular" w:hAnsi="思源黑体 CN Regular" w:eastAsia="思源黑体 CN Regular"/>
        <w:color w:val="808080" w:themeColor="background1" w:themeShade="80"/>
        <w:sz w:val="14"/>
        <w:szCs w:val="14"/>
      </w:rPr>
      <w:t>邮箱：</w:t>
    </w:r>
    <w:r>
      <w:rPr>
        <w:rFonts w:ascii="思源黑体 CN Regular" w:hAnsi="思源黑体 CN Regular" w:eastAsia="思源黑体 CN Regular"/>
        <w:color w:val="808080" w:themeColor="background1" w:themeShade="80"/>
        <w:sz w:val="14"/>
        <w:szCs w:val="14"/>
      </w:rPr>
      <w:t>howell@howellexpo.</w:t>
    </w:r>
    <w:r>
      <w:rPr>
        <w:rFonts w:hint="eastAsia" w:ascii="思源黑体 CN Regular" w:hAnsi="思源黑体 CN Regular" w:eastAsia="思源黑体 CN Regular"/>
        <w:color w:val="808080" w:themeColor="background1" w:themeShade="80"/>
        <w:sz w:val="14"/>
        <w:szCs w:val="14"/>
      </w:rPr>
      <w:t>net / 网址：www.chinajoy.net</w:t>
    </w:r>
  </w:p>
  <w:p w14:paraId="7B26DA9E">
    <w:pPr>
      <w:pStyle w:val="3"/>
      <w:rPr>
        <w:rFonts w:ascii="思源黑体 CN Regular" w:hAnsi="思源黑体 CN Regular" w:eastAsia="思源黑体 CN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AD030">
    <w:pPr>
      <w:pStyle w:val="4"/>
      <w:pBdr>
        <w:bottom w:val="single" w:color="auto" w:sz="6"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E826F">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342BD"/>
    <w:multiLevelType w:val="multilevel"/>
    <w:tmpl w:val="008342BD"/>
    <w:lvl w:ilvl="0" w:tentative="0">
      <w:start w:val="1"/>
      <w:numFmt w:val="decimal"/>
      <w:lvlText w:val="%1."/>
      <w:lvlJc w:val="left"/>
      <w:pPr>
        <w:ind w:left="1140" w:hanging="360"/>
      </w:pPr>
      <w:rPr>
        <w:rFonts w:hint="default"/>
      </w:rPr>
    </w:lvl>
    <w:lvl w:ilvl="1" w:tentative="0">
      <w:start w:val="1"/>
      <w:numFmt w:val="lowerLetter"/>
      <w:lvlText w:val="%2)"/>
      <w:lvlJc w:val="left"/>
      <w:pPr>
        <w:ind w:left="1620" w:hanging="420"/>
      </w:pPr>
    </w:lvl>
    <w:lvl w:ilvl="2" w:tentative="0">
      <w:start w:val="1"/>
      <w:numFmt w:val="lowerRoman"/>
      <w:lvlText w:val="%3."/>
      <w:lvlJc w:val="right"/>
      <w:pPr>
        <w:ind w:left="2040" w:hanging="420"/>
      </w:pPr>
    </w:lvl>
    <w:lvl w:ilvl="3" w:tentative="0">
      <w:start w:val="1"/>
      <w:numFmt w:val="decimal"/>
      <w:lvlText w:val="%4."/>
      <w:lvlJc w:val="left"/>
      <w:pPr>
        <w:ind w:left="2460" w:hanging="420"/>
      </w:pPr>
    </w:lvl>
    <w:lvl w:ilvl="4" w:tentative="0">
      <w:start w:val="1"/>
      <w:numFmt w:val="lowerLetter"/>
      <w:lvlText w:val="%5)"/>
      <w:lvlJc w:val="left"/>
      <w:pPr>
        <w:ind w:left="2880" w:hanging="420"/>
      </w:pPr>
    </w:lvl>
    <w:lvl w:ilvl="5" w:tentative="0">
      <w:start w:val="1"/>
      <w:numFmt w:val="lowerRoman"/>
      <w:lvlText w:val="%6."/>
      <w:lvlJc w:val="right"/>
      <w:pPr>
        <w:ind w:left="3300" w:hanging="420"/>
      </w:pPr>
    </w:lvl>
    <w:lvl w:ilvl="6" w:tentative="0">
      <w:start w:val="1"/>
      <w:numFmt w:val="decimal"/>
      <w:lvlText w:val="%7."/>
      <w:lvlJc w:val="left"/>
      <w:pPr>
        <w:ind w:left="3720" w:hanging="420"/>
      </w:pPr>
    </w:lvl>
    <w:lvl w:ilvl="7" w:tentative="0">
      <w:start w:val="1"/>
      <w:numFmt w:val="lowerLetter"/>
      <w:lvlText w:val="%8)"/>
      <w:lvlJc w:val="left"/>
      <w:pPr>
        <w:ind w:left="4140" w:hanging="420"/>
      </w:pPr>
    </w:lvl>
    <w:lvl w:ilvl="8" w:tentative="0">
      <w:start w:val="1"/>
      <w:numFmt w:val="lowerRoman"/>
      <w:lvlText w:val="%9."/>
      <w:lvlJc w:val="right"/>
      <w:pPr>
        <w:ind w:left="4560" w:hanging="420"/>
      </w:pPr>
    </w:lvl>
  </w:abstractNum>
  <w:abstractNum w:abstractNumId="1">
    <w:nsid w:val="0F9453BA"/>
    <w:multiLevelType w:val="multilevel"/>
    <w:tmpl w:val="0F9453BA"/>
    <w:lvl w:ilvl="0" w:tentative="0">
      <w:start w:val="0"/>
      <w:numFmt w:val="none"/>
      <w:lvlText w:val=""/>
      <w:lvlJc w:val="left"/>
      <w:pPr>
        <w:tabs>
          <w:tab w:val="left" w:pos="360"/>
        </w:tabs>
      </w:pPr>
    </w:lvl>
    <w:lvl w:ilvl="1" w:tentative="0">
      <w:start w:val="1"/>
      <w:numFmt w:val="lowerLetter"/>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6B35783"/>
    <w:multiLevelType w:val="multilevel"/>
    <w:tmpl w:val="26B35783"/>
    <w:lvl w:ilvl="0" w:tentative="0">
      <w:start w:val="1"/>
      <w:numFmt w:val="upperLetter"/>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38DB6895"/>
    <w:multiLevelType w:val="multilevel"/>
    <w:tmpl w:val="38DB6895"/>
    <w:lvl w:ilvl="0" w:tentative="0">
      <w:start w:val="2"/>
      <w:numFmt w:val="lowerLetter"/>
      <w:lvlText w:val="%1."/>
      <w:lvlJc w:val="left"/>
      <w:pPr>
        <w:tabs>
          <w:tab w:val="left" w:pos="1200"/>
        </w:tabs>
        <w:ind w:left="1200" w:hanging="360"/>
      </w:pPr>
      <w:rPr>
        <w:rFonts w:hint="default" w:hAnsi="宋体"/>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4">
    <w:nsid w:val="7DAF6FAA"/>
    <w:multiLevelType w:val="multilevel"/>
    <w:tmpl w:val="7DAF6FAA"/>
    <w:lvl w:ilvl="0" w:tentative="0">
      <w:start w:val="1"/>
      <w:numFmt w:val="upperLetter"/>
      <w:lvlText w:val="%1."/>
      <w:lvlJc w:val="left"/>
      <w:pPr>
        <w:tabs>
          <w:tab w:val="left" w:pos="780"/>
        </w:tabs>
        <w:ind w:left="780" w:hanging="36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YzMzRkNzJlZTVlOWQ2ZWY3ZGEwNGU4OGFlNGFmZmQifQ=="/>
  </w:docVars>
  <w:rsids>
    <w:rsidRoot w:val="007F5112"/>
    <w:rsid w:val="000468A0"/>
    <w:rsid w:val="00062E82"/>
    <w:rsid w:val="00095245"/>
    <w:rsid w:val="000D58C9"/>
    <w:rsid w:val="001213AA"/>
    <w:rsid w:val="0012182E"/>
    <w:rsid w:val="001252DC"/>
    <w:rsid w:val="0013775F"/>
    <w:rsid w:val="00162363"/>
    <w:rsid w:val="001C7996"/>
    <w:rsid w:val="0020301E"/>
    <w:rsid w:val="00210493"/>
    <w:rsid w:val="00261AF4"/>
    <w:rsid w:val="002C5117"/>
    <w:rsid w:val="002F709F"/>
    <w:rsid w:val="00320DC1"/>
    <w:rsid w:val="00344FAB"/>
    <w:rsid w:val="003A149A"/>
    <w:rsid w:val="003D2FD5"/>
    <w:rsid w:val="00407C63"/>
    <w:rsid w:val="004B272B"/>
    <w:rsid w:val="004D2E4D"/>
    <w:rsid w:val="004E5EC9"/>
    <w:rsid w:val="004F265C"/>
    <w:rsid w:val="00530656"/>
    <w:rsid w:val="00537C22"/>
    <w:rsid w:val="00586FE8"/>
    <w:rsid w:val="005903CE"/>
    <w:rsid w:val="005F043D"/>
    <w:rsid w:val="005F56A7"/>
    <w:rsid w:val="00642BCF"/>
    <w:rsid w:val="006A11E1"/>
    <w:rsid w:val="0073626C"/>
    <w:rsid w:val="00755792"/>
    <w:rsid w:val="00776E90"/>
    <w:rsid w:val="00780123"/>
    <w:rsid w:val="007F5112"/>
    <w:rsid w:val="008409F2"/>
    <w:rsid w:val="00840DAD"/>
    <w:rsid w:val="008832E2"/>
    <w:rsid w:val="00902CFE"/>
    <w:rsid w:val="009952D4"/>
    <w:rsid w:val="009E1669"/>
    <w:rsid w:val="00A231DA"/>
    <w:rsid w:val="00A26C63"/>
    <w:rsid w:val="00A40FF7"/>
    <w:rsid w:val="00B07824"/>
    <w:rsid w:val="00B17598"/>
    <w:rsid w:val="00BF0C10"/>
    <w:rsid w:val="00C00B8F"/>
    <w:rsid w:val="00C44149"/>
    <w:rsid w:val="00D57837"/>
    <w:rsid w:val="00D6114A"/>
    <w:rsid w:val="00DF586E"/>
    <w:rsid w:val="00ED5112"/>
    <w:rsid w:val="00EF62A7"/>
    <w:rsid w:val="00F02944"/>
    <w:rsid w:val="00F361CF"/>
    <w:rsid w:val="00F36D0F"/>
    <w:rsid w:val="00F57F7F"/>
    <w:rsid w:val="00FD5D79"/>
    <w:rsid w:val="0289111C"/>
    <w:rsid w:val="26C91A66"/>
    <w:rsid w:val="2CD5756A"/>
    <w:rsid w:val="328D2C0D"/>
    <w:rsid w:val="37F34C19"/>
    <w:rsid w:val="3D1B3917"/>
    <w:rsid w:val="3EA6463A"/>
    <w:rsid w:val="4AA81BE7"/>
    <w:rsid w:val="57D2032F"/>
    <w:rsid w:val="635E2E06"/>
    <w:rsid w:val="636D7460"/>
    <w:rsid w:val="687320F8"/>
    <w:rsid w:val="68AD145E"/>
    <w:rsid w:val="6F2D1B23"/>
    <w:rsid w:val="6F7118E2"/>
    <w:rsid w:val="703B2D36"/>
    <w:rsid w:val="788A2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character" w:customStyle="1" w:styleId="12">
    <w:name w:val="批注框文本 字符"/>
    <w:basedOn w:val="7"/>
    <w:link w:val="2"/>
    <w:semiHidden/>
    <w:qFormat/>
    <w:uiPriority w:val="99"/>
    <w:rPr>
      <w:sz w:val="18"/>
      <w:szCs w:val="18"/>
    </w:rPr>
  </w:style>
  <w:style w:type="paragraph" w:styleId="13">
    <w:name w:val="List Paragraph"/>
    <w:basedOn w:val="1"/>
    <w:qFormat/>
    <w:uiPriority w:val="34"/>
    <w:pPr>
      <w:ind w:firstLine="420" w:firstLineChars="200"/>
    </w:pPr>
  </w:style>
  <w:style w:type="paragraph" w:customStyle="1" w:styleId="14">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5">
    <w:name w:val="标题 3 Char"/>
    <w:qFormat/>
    <w:uiPriority w:val="0"/>
    <w:rPr>
      <w:rFonts w:eastAsia="宋体"/>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F796B-1438-4AF7-954B-E9C910ADC62B}">
  <ds:schemaRefs/>
</ds:datastoreItem>
</file>

<file path=docProps/app.xml><?xml version="1.0" encoding="utf-8"?>
<Properties xmlns="http://schemas.openxmlformats.org/officeDocument/2006/extended-properties" xmlns:vt="http://schemas.openxmlformats.org/officeDocument/2006/docPropsVTypes">
  <Template>Normal</Template>
  <Pages>10</Pages>
  <Words>3604</Words>
  <Characters>3922</Characters>
  <Lines>0</Lines>
  <Paragraphs>0</Paragraphs>
  <TotalTime>63</TotalTime>
  <ScaleCrop>false</ScaleCrop>
  <LinksUpToDate>false</LinksUpToDate>
  <CharactersWithSpaces>3974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2022-12-06T01:44:00Z</dcterms:created>
  <dc:creator>雷霆UPC</dc:creator>
  <cp:lastModifiedBy>杨杨</cp:lastModifiedBy>
  <dcterms:modified xsi:type="dcterms:W3CDTF">2025-11-19T03:28:59Z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B802C4E9866F4B5BA158A487E5D3BD46_13</vt:lpwstr>
  </property>
  <property fmtid="{D5CDD505-2E9C-101B-9397-08002B2CF9AE}" pid="4" name="KSOTemplateDocerSaveRecord">
    <vt:lpwstr>eyJoZGlkIjoiMzkwMGYwNjkwODJjMWRjOTI3NDUxMTJlY2E4NDNjMTAiLCJ1c2VySWQiOiIxMTI1NjMwNjQwIn0=</vt:lpwstr>
  </property>
</Properties>
</file>